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77456A" w:rsidRPr="009E51FC" w:rsidRDefault="0077456A"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84531" w:rsidP="00567903">
            <w:pPr>
              <w:rPr>
                <w:b/>
              </w:rPr>
            </w:pPr>
            <w:r>
              <w:rPr>
                <w:rStyle w:val="Firstpagetablebold"/>
              </w:rPr>
              <w:t>1</w:t>
            </w:r>
            <w:r w:rsidR="00567903">
              <w:rPr>
                <w:rStyle w:val="Firstpagetablebold"/>
              </w:rPr>
              <w:t>2</w:t>
            </w:r>
            <w:r>
              <w:rPr>
                <w:rStyle w:val="Firstpagetablebold"/>
              </w:rPr>
              <w:t xml:space="preserve">th </w:t>
            </w:r>
            <w:r w:rsidR="00D71D8D">
              <w:rPr>
                <w:rStyle w:val="Firstpagetablebold"/>
              </w:rPr>
              <w:t>February 201</w:t>
            </w:r>
            <w:r w:rsidR="00567903">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567903">
            <w:pPr>
              <w:rPr>
                <w:rStyle w:val="Firstpagetablebold"/>
              </w:rPr>
            </w:pPr>
            <w:r>
              <w:rPr>
                <w:rStyle w:val="Firstpagetablebold"/>
              </w:rPr>
              <w:t>Treasury Management Strategy 201</w:t>
            </w:r>
            <w:r w:rsidR="00567903">
              <w:rPr>
                <w:rStyle w:val="Firstpagetablebold"/>
              </w:rPr>
              <w:t>9</w:t>
            </w:r>
            <w:r>
              <w:rPr>
                <w:rStyle w:val="Firstpagetablebold"/>
              </w:rPr>
              <w:t>/</w:t>
            </w:r>
            <w:r w:rsidR="00567903">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F95709">
            <w:r w:rsidRPr="00D56D5C">
              <w:t>To present the Council’s Treasury Management Strategy for 201</w:t>
            </w:r>
            <w:r w:rsidR="00F95709">
              <w:t>9</w:t>
            </w:r>
            <w:r w:rsidRPr="00D56D5C">
              <w:t>/</w:t>
            </w:r>
            <w:r w:rsidR="00F95709">
              <w:t>20</w:t>
            </w:r>
            <w:r w:rsidRPr="00D56D5C">
              <w:t xml:space="preserve"> together with the Prudential Indicators for 201</w:t>
            </w:r>
            <w:r w:rsidR="00F95709">
              <w:t>9</w:t>
            </w:r>
            <w:r w:rsidRPr="00D56D5C">
              <w:t>/</w:t>
            </w:r>
            <w:r w:rsidR="00F95709">
              <w:t>20</w:t>
            </w:r>
            <w:r w:rsidR="0026510E">
              <w:t xml:space="preserve"> to 202</w:t>
            </w:r>
            <w:r w:rsidR="00F95709">
              <w:t>2</w:t>
            </w:r>
            <w:r w:rsidR="0026510E">
              <w:t>/2</w:t>
            </w:r>
            <w:r w:rsidR="00F95709">
              <w:t>3</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A23FEE">
            <w:r w:rsidRPr="00D71D8D">
              <w:t xml:space="preserve">Councillor Ed Turner, (Deputy Leader) </w:t>
            </w:r>
            <w:r w:rsidR="005A33FE" w:rsidRPr="005A33FE">
              <w:t>Finance and Corporate Assets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3"/>
            <w:tcBorders>
              <w:bottom w:val="single" w:sz="8" w:space="0" w:color="000000"/>
            </w:tcBorders>
          </w:tcPr>
          <w:p w:rsidR="005F7F7E" w:rsidRPr="00975B07" w:rsidRDefault="005F7F7E" w:rsidP="00FF67E4">
            <w:r>
              <w:rPr>
                <w:rStyle w:val="Firstpagetablebold"/>
              </w:rPr>
              <w:t>Recommendations:</w:t>
            </w:r>
            <w:r w:rsidR="0077456A">
              <w:rPr>
                <w:rStyle w:val="Firstpagetablebold"/>
              </w:rPr>
              <w:t xml:space="preserve"> </w:t>
            </w:r>
            <w:bookmarkStart w:id="0" w:name="_GoBack"/>
            <w:bookmarkEnd w:id="0"/>
            <w:r w:rsidRPr="00FF67E4">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9010D8" w:rsidP="005E1929">
            <w:r w:rsidRPr="009010D8">
              <w:t>The Treasury Management Strategy 201</w:t>
            </w:r>
            <w:r w:rsidR="00F95709">
              <w:t>9</w:t>
            </w:r>
            <w:r w:rsidRPr="009010D8">
              <w:t>/</w:t>
            </w:r>
            <w:r w:rsidR="00F95709">
              <w:t>20</w:t>
            </w:r>
            <w:r w:rsidRPr="009010D8">
              <w:t xml:space="preserve"> as set out in paragraphs </w:t>
            </w:r>
            <w:r w:rsidR="00B92702">
              <w:t>1</w:t>
            </w:r>
            <w:r w:rsidR="005E1929">
              <w:t>5</w:t>
            </w:r>
            <w:r w:rsidR="0017543A" w:rsidRPr="009010D8">
              <w:t xml:space="preserve"> </w:t>
            </w:r>
            <w:r w:rsidRPr="009010D8">
              <w:t xml:space="preserve">to </w:t>
            </w:r>
            <w:r w:rsidR="005E1929">
              <w:t>60</w:t>
            </w:r>
            <w:r w:rsidR="0017543A" w:rsidRPr="009010D8">
              <w:t xml:space="preserve"> </w:t>
            </w:r>
            <w:r w:rsidRPr="009010D8">
              <w:t>and the Prudential Indicators for 201</w:t>
            </w:r>
            <w:r w:rsidR="00F95709">
              <w:t>9</w:t>
            </w:r>
            <w:r w:rsidRPr="009010D8">
              <w:t>/</w:t>
            </w:r>
            <w:r w:rsidR="00F95709">
              <w:t>20</w:t>
            </w:r>
            <w:r w:rsidRPr="009010D8">
              <w:t xml:space="preserve"> – 202</w:t>
            </w:r>
            <w:r w:rsidR="00F95709">
              <w:t>2</w:t>
            </w:r>
            <w:r w:rsidRPr="009010D8">
              <w:t>/</w:t>
            </w:r>
            <w:r w:rsidR="008D51B8" w:rsidRPr="009010D8">
              <w:t>2</w:t>
            </w:r>
            <w:r w:rsidR="00F95709">
              <w:t>3</w:t>
            </w:r>
            <w:r w:rsidR="008D51B8" w:rsidRPr="009010D8">
              <w:t xml:space="preserve"> </w:t>
            </w:r>
            <w:r w:rsidRPr="009010D8">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4460B7" w:rsidRDefault="00D71D8D" w:rsidP="005E1929">
            <w:r w:rsidRPr="004460B7">
              <w:t xml:space="preserve">The Borrowing Strategy at paragraphs </w:t>
            </w:r>
            <w:r w:rsidR="005E1929">
              <w:t>23</w:t>
            </w:r>
            <w:r w:rsidR="009010D8" w:rsidRPr="004460B7">
              <w:t xml:space="preserve"> to </w:t>
            </w:r>
            <w:r w:rsidR="004460B7" w:rsidRPr="004460B7">
              <w:t>3</w:t>
            </w:r>
            <w:r w:rsidR="005E1929">
              <w:t>5</w:t>
            </w:r>
            <w:r w:rsidRPr="004460B7">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4460B7" w:rsidRDefault="00D71D8D" w:rsidP="005E1929">
            <w:r w:rsidRPr="004460B7">
              <w:rPr>
                <w:rStyle w:val="Firstpagetablebold"/>
                <w:b w:val="0"/>
              </w:rPr>
              <w:t>The Minimum Revenue Provision</w:t>
            </w:r>
            <w:r w:rsidR="009010D8" w:rsidRPr="004460B7">
              <w:rPr>
                <w:rStyle w:val="Firstpagetablebold"/>
                <w:b w:val="0"/>
              </w:rPr>
              <w:t xml:space="preserve"> (MRP) Statement at paragraphs </w:t>
            </w:r>
            <w:r w:rsidR="004460B7" w:rsidRPr="004460B7">
              <w:rPr>
                <w:rStyle w:val="Firstpagetablebold"/>
                <w:b w:val="0"/>
              </w:rPr>
              <w:t>3</w:t>
            </w:r>
            <w:r w:rsidR="005E1929">
              <w:rPr>
                <w:rStyle w:val="Firstpagetablebold"/>
                <w:b w:val="0"/>
              </w:rPr>
              <w:t>6</w:t>
            </w:r>
            <w:r w:rsidRPr="004460B7">
              <w:rPr>
                <w:rStyle w:val="Firstpagetablebold"/>
                <w:b w:val="0"/>
              </w:rPr>
              <w:t xml:space="preserve"> to </w:t>
            </w:r>
            <w:r w:rsidR="004460B7" w:rsidRPr="004460B7">
              <w:rPr>
                <w:rStyle w:val="Firstpagetablebold"/>
                <w:b w:val="0"/>
              </w:rPr>
              <w:t>3</w:t>
            </w:r>
            <w:r w:rsidR="005E1929">
              <w:rPr>
                <w:rStyle w:val="Firstpagetablebold"/>
                <w:b w:val="0"/>
              </w:rPr>
              <w:t>7</w:t>
            </w:r>
            <w:r w:rsidR="0017543A" w:rsidRPr="004460B7">
              <w:rPr>
                <w:rStyle w:val="Firstpagetablebold"/>
                <w:b w:val="0"/>
              </w:rPr>
              <w:t xml:space="preserve"> </w:t>
            </w:r>
            <w:r w:rsidRPr="004460B7">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D71D8D" w:rsidRDefault="00D71D8D" w:rsidP="001709F9">
            <w:r w:rsidRPr="00D71D8D">
              <w:t xml:space="preserve">The </w:t>
            </w:r>
            <w:r w:rsidRPr="004460B7">
              <w:t>Investment Strategy for 201</w:t>
            </w:r>
            <w:r w:rsidR="001709F9">
              <w:t>9</w:t>
            </w:r>
            <w:r w:rsidRPr="004460B7">
              <w:t>/</w:t>
            </w:r>
            <w:r w:rsidR="001709F9">
              <w:t>20</w:t>
            </w:r>
            <w:r w:rsidRPr="004460B7">
              <w:t xml:space="preserve"> and investment criteria as set out in paragraphs </w:t>
            </w:r>
            <w:r w:rsidR="004460B7" w:rsidRPr="004460B7">
              <w:t>3</w:t>
            </w:r>
            <w:r w:rsidR="005E1929">
              <w:t>8</w:t>
            </w:r>
            <w:r w:rsidR="009010D8" w:rsidRPr="004460B7">
              <w:t xml:space="preserve"> to </w:t>
            </w:r>
            <w:r w:rsidR="004460B7" w:rsidRPr="004460B7">
              <w:t>5</w:t>
            </w:r>
            <w:r w:rsidR="005E1929">
              <w:t>9</w:t>
            </w:r>
            <w:r w:rsidR="0017543A" w:rsidRPr="00D71D8D">
              <w:t xml:space="preserve"> </w:t>
            </w:r>
            <w:r w:rsidRPr="00D71D8D">
              <w:t>and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8E5027">
            <w:r w:rsidRPr="00975B07">
              <w:t xml:space="preserve">Appendix </w:t>
            </w:r>
            <w:r w:rsidR="008E5027">
              <w:t>2</w:t>
            </w:r>
          </w:p>
        </w:tc>
        <w:tc>
          <w:tcPr>
            <w:tcW w:w="6406" w:type="dxa"/>
            <w:tcBorders>
              <w:top w:val="nil"/>
              <w:left w:val="nil"/>
              <w:bottom w:val="single" w:sz="8" w:space="0" w:color="000000"/>
              <w:right w:val="single" w:sz="8" w:space="0" w:color="000000"/>
            </w:tcBorders>
          </w:tcPr>
          <w:p w:rsidR="0030208D" w:rsidRPr="001356F1" w:rsidRDefault="008E5027" w:rsidP="00B92702">
            <w:r w:rsidRPr="008E5027">
              <w:t>Prudential Indicators 201</w:t>
            </w:r>
            <w:r w:rsidR="00B92702">
              <w:t>9</w:t>
            </w:r>
            <w:r w:rsidRPr="008E5027">
              <w:t>/</w:t>
            </w:r>
            <w:r w:rsidR="00B92702">
              <w:t>20</w:t>
            </w:r>
            <w:r w:rsidRPr="008E5027">
              <w:t xml:space="preserve"> – 202</w:t>
            </w:r>
            <w:r w:rsidR="00B92702">
              <w:t>3</w:t>
            </w:r>
            <w:r w:rsidRPr="008E5027">
              <w:t>/2</w:t>
            </w:r>
            <w:r w:rsidR="00B92702">
              <w:t>4</w:t>
            </w:r>
          </w:p>
        </w:tc>
      </w:tr>
    </w:tbl>
    <w:p w:rsidR="00A23FEE" w:rsidRDefault="00A23FEE">
      <w:pPr>
        <w:spacing w:after="0"/>
        <w:rPr>
          <w:b/>
        </w:rPr>
      </w:pPr>
      <w:r>
        <w:br w:type="page"/>
      </w:r>
    </w:p>
    <w:p w:rsidR="0040736F" w:rsidRPr="001356F1" w:rsidRDefault="00D71D8D" w:rsidP="004A6D2F">
      <w:pPr>
        <w:pStyle w:val="Heading1"/>
      </w:pPr>
      <w:r w:rsidRPr="00D71D8D">
        <w:lastRenderedPageBreak/>
        <w:t>Summary</w:t>
      </w:r>
    </w:p>
    <w:p w:rsidR="0026510E" w:rsidRDefault="00D71D8D" w:rsidP="0020712A">
      <w:pPr>
        <w:numPr>
          <w:ilvl w:val="0"/>
          <w:numId w:val="6"/>
        </w:numPr>
        <w:spacing w:after="0"/>
        <w:contextualSpacing/>
        <w:rPr>
          <w:rFonts w:cs="Arial"/>
          <w:color w:val="auto"/>
          <w:lang w:eastAsia="en-US"/>
        </w:rPr>
      </w:pPr>
      <w:r w:rsidRPr="0026510E">
        <w:rPr>
          <w:rFonts w:cs="Arial"/>
          <w:color w:val="auto"/>
          <w:lang w:eastAsia="en-US"/>
        </w:rPr>
        <w:t xml:space="preserve">The Council’s Treasury Management Strategy has been written in accordance with the </w:t>
      </w:r>
      <w:r w:rsidR="004F1AB7">
        <w:rPr>
          <w:rFonts w:cs="Arial"/>
          <w:color w:val="auto"/>
          <w:lang w:eastAsia="en-US"/>
        </w:rPr>
        <w:t xml:space="preserve">revised </w:t>
      </w:r>
      <w:r w:rsidRPr="0026510E">
        <w:rPr>
          <w:rFonts w:cs="Arial"/>
          <w:color w:val="auto"/>
          <w:lang w:eastAsia="en-US"/>
        </w:rPr>
        <w:t xml:space="preserve">CIPFA Prudential Code and the </w:t>
      </w:r>
      <w:r w:rsidR="004F1AB7">
        <w:rPr>
          <w:rFonts w:cs="Arial"/>
          <w:color w:val="auto"/>
          <w:lang w:eastAsia="en-US"/>
        </w:rPr>
        <w:t xml:space="preserve">revised </w:t>
      </w:r>
      <w:r w:rsidRPr="0026510E">
        <w:rPr>
          <w:rFonts w:cs="Arial"/>
          <w:color w:val="auto"/>
          <w:lang w:eastAsia="en-US"/>
        </w:rPr>
        <w:t xml:space="preserve">CIPFA Treasury Management Code of Practice.  </w:t>
      </w:r>
    </w:p>
    <w:p w:rsidR="0026510E" w:rsidRDefault="0026510E" w:rsidP="0026510E">
      <w:pPr>
        <w:spacing w:after="0"/>
        <w:ind w:left="360"/>
        <w:contextualSpacing/>
        <w:rPr>
          <w:rFonts w:cs="Arial"/>
          <w:color w:val="auto"/>
          <w:lang w:eastAsia="en-US"/>
        </w:rPr>
      </w:pPr>
    </w:p>
    <w:p w:rsidR="00D71D8D" w:rsidRPr="0026510E" w:rsidRDefault="00D71D8D" w:rsidP="0020712A">
      <w:pPr>
        <w:numPr>
          <w:ilvl w:val="0"/>
          <w:numId w:val="6"/>
        </w:numPr>
        <w:spacing w:after="0"/>
        <w:contextualSpacing/>
        <w:rPr>
          <w:rFonts w:cs="Arial"/>
          <w:color w:val="auto"/>
          <w:lang w:eastAsia="en-US"/>
        </w:rPr>
      </w:pPr>
      <w:r w:rsidRPr="0026510E">
        <w:rPr>
          <w:rFonts w:cs="Arial"/>
          <w:color w:val="auto"/>
          <w:lang w:eastAsia="en-US"/>
        </w:rPr>
        <w:t>The report presents the Council’s prudential indicators for 201</w:t>
      </w:r>
      <w:r w:rsidR="009E7959">
        <w:rPr>
          <w:rFonts w:cs="Arial"/>
          <w:color w:val="auto"/>
          <w:lang w:eastAsia="en-US"/>
        </w:rPr>
        <w:t>9</w:t>
      </w:r>
      <w:r w:rsidRPr="0026510E">
        <w:rPr>
          <w:rFonts w:cs="Arial"/>
          <w:color w:val="auto"/>
          <w:lang w:eastAsia="en-US"/>
        </w:rPr>
        <w:t>/</w:t>
      </w:r>
      <w:r w:rsidR="009E7959">
        <w:rPr>
          <w:rFonts w:cs="Arial"/>
          <w:color w:val="auto"/>
          <w:lang w:eastAsia="en-US"/>
        </w:rPr>
        <w:t>20</w:t>
      </w:r>
      <w:r w:rsidR="0026510E">
        <w:rPr>
          <w:rFonts w:cs="Arial"/>
          <w:color w:val="auto"/>
          <w:lang w:eastAsia="en-US"/>
        </w:rPr>
        <w:t xml:space="preserve"> – 202</w:t>
      </w:r>
      <w:r w:rsidR="00B92702">
        <w:rPr>
          <w:rFonts w:cs="Arial"/>
          <w:color w:val="auto"/>
          <w:lang w:eastAsia="en-US"/>
        </w:rPr>
        <w:t>3</w:t>
      </w:r>
      <w:r w:rsidR="0026510E">
        <w:rPr>
          <w:rFonts w:cs="Arial"/>
          <w:color w:val="auto"/>
          <w:lang w:eastAsia="en-US"/>
        </w:rPr>
        <w:t>/202</w:t>
      </w:r>
      <w:r w:rsidR="00B92702">
        <w:rPr>
          <w:rFonts w:cs="Arial"/>
          <w:color w:val="auto"/>
          <w:lang w:eastAsia="en-US"/>
        </w:rPr>
        <w:t>4</w:t>
      </w:r>
      <w:r w:rsidR="0026510E">
        <w:rPr>
          <w:rFonts w:cs="Arial"/>
          <w:color w:val="auto"/>
          <w:lang w:eastAsia="en-US"/>
        </w:rPr>
        <w:t xml:space="preserve">. </w:t>
      </w:r>
      <w:r w:rsidRPr="0026510E">
        <w:rPr>
          <w:rFonts w:cs="Arial"/>
          <w:color w:val="auto"/>
          <w:lang w:eastAsia="en-US"/>
        </w:rPr>
        <w:t>Notable indicators include capital expenditure and borrowing limits as these are areas of significant activity.</w:t>
      </w:r>
    </w:p>
    <w:p w:rsidR="00D71D8D" w:rsidRPr="00D71D8D" w:rsidRDefault="00D71D8D" w:rsidP="00D71D8D">
      <w:pPr>
        <w:spacing w:after="0"/>
        <w:ind w:left="720"/>
        <w:contextualSpacing/>
        <w:rPr>
          <w:rFonts w:cs="Arial"/>
          <w:color w:val="auto"/>
          <w:lang w:eastAsia="en-US"/>
        </w:rPr>
      </w:pPr>
    </w:p>
    <w:p w:rsidR="00D71D8D" w:rsidRPr="0044066A" w:rsidRDefault="00D71D8D" w:rsidP="0020712A">
      <w:pPr>
        <w:numPr>
          <w:ilvl w:val="0"/>
          <w:numId w:val="6"/>
        </w:numPr>
        <w:spacing w:after="0"/>
        <w:contextualSpacing/>
        <w:rPr>
          <w:rFonts w:cs="Arial"/>
          <w:color w:val="auto"/>
          <w:lang w:eastAsia="en-US"/>
        </w:rPr>
      </w:pPr>
      <w:r w:rsidRPr="002606B4">
        <w:rPr>
          <w:rFonts w:cs="Arial"/>
          <w:color w:val="auto"/>
          <w:lang w:eastAsia="en-US"/>
        </w:rPr>
        <w:t xml:space="preserve">The average value of investments during the </w:t>
      </w:r>
      <w:r w:rsidR="002606B4" w:rsidRPr="002606B4">
        <w:rPr>
          <w:rFonts w:cs="Arial"/>
          <w:color w:val="auto"/>
          <w:lang w:eastAsia="en-US"/>
        </w:rPr>
        <w:t>calendar</w:t>
      </w:r>
      <w:r w:rsidRPr="002606B4">
        <w:rPr>
          <w:rFonts w:cs="Arial"/>
          <w:color w:val="auto"/>
          <w:lang w:eastAsia="en-US"/>
        </w:rPr>
        <w:t xml:space="preserve"> year to </w:t>
      </w:r>
      <w:r w:rsidR="002606B4" w:rsidRPr="002606B4">
        <w:rPr>
          <w:rFonts w:cs="Arial"/>
          <w:color w:val="auto"/>
          <w:lang w:eastAsia="en-US"/>
        </w:rPr>
        <w:t>31</w:t>
      </w:r>
      <w:r w:rsidR="002606B4" w:rsidRPr="002606B4">
        <w:rPr>
          <w:rFonts w:cs="Arial"/>
          <w:color w:val="auto"/>
          <w:vertAlign w:val="superscript"/>
          <w:lang w:eastAsia="en-US"/>
        </w:rPr>
        <w:t>st</w:t>
      </w:r>
      <w:r w:rsidR="002606B4" w:rsidRPr="002606B4">
        <w:rPr>
          <w:rFonts w:cs="Arial"/>
          <w:color w:val="auto"/>
          <w:lang w:eastAsia="en-US"/>
        </w:rPr>
        <w:t xml:space="preserve"> December 201</w:t>
      </w:r>
      <w:r w:rsidR="009E7959">
        <w:rPr>
          <w:rFonts w:cs="Arial"/>
          <w:color w:val="auto"/>
          <w:lang w:eastAsia="en-US"/>
        </w:rPr>
        <w:t>8</w:t>
      </w:r>
      <w:r w:rsidR="002606B4" w:rsidRPr="002606B4">
        <w:rPr>
          <w:rFonts w:cs="Arial"/>
          <w:color w:val="auto"/>
          <w:lang w:eastAsia="en-US"/>
        </w:rPr>
        <w:t xml:space="preserve"> was</w:t>
      </w:r>
      <w:r w:rsidR="00BE059C">
        <w:rPr>
          <w:rFonts w:cs="Arial"/>
          <w:color w:val="auto"/>
          <w:lang w:eastAsia="en-US"/>
        </w:rPr>
        <w:t xml:space="preserve"> </w:t>
      </w:r>
      <w:r w:rsidR="0044066A" w:rsidRPr="0044066A">
        <w:rPr>
          <w:rFonts w:cs="Arial"/>
          <w:color w:val="auto"/>
          <w:lang w:eastAsia="en-US"/>
        </w:rPr>
        <w:t>£</w:t>
      </w:r>
      <w:r w:rsidR="00BE059C" w:rsidRPr="0044066A">
        <w:rPr>
          <w:rFonts w:cs="Arial"/>
          <w:color w:val="auto"/>
          <w:lang w:eastAsia="en-US"/>
        </w:rPr>
        <w:t>102.2</w:t>
      </w:r>
      <w:r w:rsidR="002606B4" w:rsidRPr="0044066A">
        <w:rPr>
          <w:rFonts w:cs="Arial"/>
          <w:color w:val="auto"/>
          <w:lang w:eastAsia="en-US"/>
        </w:rPr>
        <w:t>m</w:t>
      </w:r>
      <w:r w:rsidRPr="0044066A">
        <w:rPr>
          <w:rFonts w:cs="Arial"/>
          <w:color w:val="auto"/>
          <w:lang w:eastAsia="en-US"/>
        </w:rPr>
        <w:t>.  The actual daily value fluctuated between</w:t>
      </w:r>
      <w:r w:rsidR="00BE059C" w:rsidRPr="0044066A">
        <w:rPr>
          <w:rFonts w:cs="Arial"/>
          <w:color w:val="auto"/>
          <w:lang w:eastAsia="en-US"/>
        </w:rPr>
        <w:t xml:space="preserve"> </w:t>
      </w:r>
      <w:r w:rsidR="0044066A" w:rsidRPr="0044066A">
        <w:rPr>
          <w:rFonts w:cs="Arial"/>
          <w:color w:val="auto"/>
          <w:lang w:eastAsia="en-US"/>
        </w:rPr>
        <w:t>£</w:t>
      </w:r>
      <w:r w:rsidR="00BE059C" w:rsidRPr="0044066A">
        <w:rPr>
          <w:rFonts w:cs="Arial"/>
          <w:color w:val="auto"/>
          <w:lang w:eastAsia="en-US"/>
        </w:rPr>
        <w:t>78.5</w:t>
      </w:r>
      <w:r w:rsidR="0044066A" w:rsidRPr="0044066A">
        <w:rPr>
          <w:rFonts w:cs="Arial"/>
          <w:color w:val="auto"/>
          <w:lang w:eastAsia="en-US"/>
        </w:rPr>
        <w:t>m</w:t>
      </w:r>
      <w:r w:rsidR="00BE059C" w:rsidRPr="0044066A">
        <w:rPr>
          <w:rFonts w:cs="Arial"/>
          <w:color w:val="auto"/>
          <w:lang w:eastAsia="en-US"/>
        </w:rPr>
        <w:t xml:space="preserve"> and </w:t>
      </w:r>
      <w:r w:rsidR="0044066A" w:rsidRPr="0044066A">
        <w:rPr>
          <w:rFonts w:cs="Arial"/>
          <w:color w:val="auto"/>
          <w:lang w:eastAsia="en-US"/>
        </w:rPr>
        <w:t>£</w:t>
      </w:r>
      <w:r w:rsidR="00BE059C" w:rsidRPr="0044066A">
        <w:rPr>
          <w:rFonts w:cs="Arial"/>
          <w:color w:val="auto"/>
          <w:lang w:eastAsia="en-US"/>
        </w:rPr>
        <w:t>120.0</w:t>
      </w:r>
      <w:r w:rsidR="0044066A" w:rsidRPr="0044066A">
        <w:rPr>
          <w:rFonts w:cs="Arial"/>
          <w:color w:val="auto"/>
          <w:lang w:eastAsia="en-US"/>
        </w:rPr>
        <w:t>m</w:t>
      </w:r>
      <w:r w:rsidRPr="0044066A">
        <w:rPr>
          <w:rFonts w:cs="Arial"/>
          <w:color w:val="auto"/>
          <w:lang w:eastAsia="en-US"/>
        </w:rPr>
        <w:t xml:space="preserve">.  This is an increase on the previous </w:t>
      </w:r>
      <w:r w:rsidR="002606B4" w:rsidRPr="0044066A">
        <w:rPr>
          <w:rFonts w:cs="Arial"/>
          <w:color w:val="auto"/>
          <w:lang w:eastAsia="en-US"/>
        </w:rPr>
        <w:t xml:space="preserve">calendar </w:t>
      </w:r>
      <w:r w:rsidRPr="0044066A">
        <w:rPr>
          <w:rFonts w:cs="Arial"/>
          <w:color w:val="auto"/>
          <w:lang w:eastAsia="en-US"/>
        </w:rPr>
        <w:t>year, when average balances were £</w:t>
      </w:r>
      <w:r w:rsidR="00BE059C" w:rsidRPr="0044066A">
        <w:rPr>
          <w:rFonts w:cs="Arial"/>
          <w:color w:val="auto"/>
          <w:lang w:eastAsia="en-US"/>
        </w:rPr>
        <w:t>93.7</w:t>
      </w:r>
      <w:r w:rsidRPr="0044066A">
        <w:rPr>
          <w:rFonts w:cs="Arial"/>
          <w:color w:val="auto"/>
          <w:lang w:eastAsia="en-US"/>
        </w:rPr>
        <w:t>m and daily values ranged from £</w:t>
      </w:r>
      <w:r w:rsidR="0044066A" w:rsidRPr="0044066A">
        <w:rPr>
          <w:rFonts w:cs="Arial"/>
          <w:color w:val="auto"/>
          <w:lang w:eastAsia="en-US"/>
        </w:rPr>
        <w:t>7</w:t>
      </w:r>
      <w:r w:rsidR="002606B4" w:rsidRPr="0044066A">
        <w:rPr>
          <w:rFonts w:cs="Arial"/>
          <w:color w:val="auto"/>
          <w:lang w:eastAsia="en-US"/>
        </w:rPr>
        <w:t>2.9</w:t>
      </w:r>
      <w:r w:rsidRPr="0044066A">
        <w:rPr>
          <w:rFonts w:cs="Arial"/>
          <w:color w:val="auto"/>
          <w:lang w:eastAsia="en-US"/>
        </w:rPr>
        <w:t>m to £</w:t>
      </w:r>
      <w:r w:rsidR="0044066A" w:rsidRPr="0044066A">
        <w:rPr>
          <w:rFonts w:cs="Arial"/>
          <w:color w:val="auto"/>
          <w:lang w:eastAsia="en-US"/>
        </w:rPr>
        <w:t>106.2</w:t>
      </w:r>
      <w:r w:rsidRPr="0044066A">
        <w:rPr>
          <w:rFonts w:cs="Arial"/>
          <w:color w:val="auto"/>
          <w:lang w:eastAsia="en-US"/>
        </w:rPr>
        <w:t xml:space="preserve">m.  </w:t>
      </w:r>
    </w:p>
    <w:p w:rsidR="00D71D8D" w:rsidRPr="0044066A"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44066A">
        <w:rPr>
          <w:rFonts w:cs="Arial"/>
          <w:color w:val="auto"/>
          <w:lang w:eastAsia="en-US"/>
        </w:rPr>
        <w:t>All external debt as at 31 March 201</w:t>
      </w:r>
      <w:r w:rsidR="0026510E" w:rsidRPr="0044066A">
        <w:rPr>
          <w:rFonts w:cs="Arial"/>
          <w:color w:val="auto"/>
          <w:lang w:eastAsia="en-US"/>
        </w:rPr>
        <w:t>8</w:t>
      </w:r>
      <w:r w:rsidRPr="0044066A">
        <w:rPr>
          <w:rFonts w:cs="Arial"/>
          <w:color w:val="auto"/>
          <w:lang w:eastAsia="en-US"/>
        </w:rPr>
        <w:t xml:space="preserve"> (£198.5m)</w:t>
      </w:r>
      <w:r w:rsidRPr="00D71D8D">
        <w:rPr>
          <w:rFonts w:cs="Arial"/>
          <w:color w:val="auto"/>
          <w:lang w:eastAsia="en-US"/>
        </w:rPr>
        <w:t xml:space="preserve">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Default="00D71D8D" w:rsidP="0020712A">
      <w:pPr>
        <w:numPr>
          <w:ilvl w:val="0"/>
          <w:numId w:val="6"/>
        </w:numPr>
        <w:spacing w:after="0"/>
        <w:contextualSpacing/>
        <w:rPr>
          <w:rFonts w:cs="Arial"/>
          <w:color w:val="auto"/>
          <w:lang w:eastAsia="en-US"/>
        </w:rPr>
      </w:pPr>
      <w:r w:rsidRPr="00A23FEE">
        <w:rPr>
          <w:rFonts w:cs="Arial"/>
          <w:color w:val="auto"/>
          <w:lang w:eastAsia="en-US"/>
        </w:rPr>
        <w:t xml:space="preserve">The Council’s General Fund Capital Programme over the next four years is funded from a combination of government grants, capital receipts, revenue, Community Infrastructure Levy and prudential borrowing.  However, due to the scale of investment over the </w:t>
      </w:r>
      <w:r w:rsidRPr="0044066A">
        <w:rPr>
          <w:rFonts w:cs="Arial"/>
          <w:color w:val="auto"/>
          <w:lang w:eastAsia="en-US"/>
        </w:rPr>
        <w:t>period</w:t>
      </w:r>
      <w:r w:rsidR="002606B4" w:rsidRPr="0044066A">
        <w:rPr>
          <w:rFonts w:cs="Arial"/>
          <w:color w:val="auto"/>
          <w:lang w:eastAsia="en-US"/>
        </w:rPr>
        <w:t xml:space="preserve"> to 202</w:t>
      </w:r>
      <w:r w:rsidR="0044066A" w:rsidRPr="0044066A">
        <w:rPr>
          <w:rFonts w:cs="Arial"/>
          <w:color w:val="auto"/>
          <w:lang w:eastAsia="en-US"/>
        </w:rPr>
        <w:t>3</w:t>
      </w:r>
      <w:r w:rsidR="002606B4" w:rsidRPr="0044066A">
        <w:rPr>
          <w:rFonts w:cs="Arial"/>
          <w:color w:val="auto"/>
          <w:lang w:eastAsia="en-US"/>
        </w:rPr>
        <w:t>/2</w:t>
      </w:r>
      <w:r w:rsidR="0044066A" w:rsidRPr="0044066A">
        <w:rPr>
          <w:rFonts w:cs="Arial"/>
          <w:color w:val="auto"/>
          <w:lang w:eastAsia="en-US"/>
        </w:rPr>
        <w:t>4</w:t>
      </w:r>
      <w:r w:rsidRPr="0044066A">
        <w:rPr>
          <w:rFonts w:cs="Arial"/>
          <w:color w:val="auto"/>
          <w:lang w:eastAsia="en-US"/>
        </w:rPr>
        <w:t xml:space="preserve">, </w:t>
      </w:r>
      <w:r w:rsidR="0044066A" w:rsidRPr="0044066A">
        <w:rPr>
          <w:rFonts w:cs="Arial"/>
          <w:color w:val="auto"/>
          <w:lang w:eastAsia="en-US"/>
        </w:rPr>
        <w:t>including</w:t>
      </w:r>
      <w:r w:rsidRPr="0044066A">
        <w:rPr>
          <w:rFonts w:cs="Arial"/>
          <w:color w:val="auto"/>
          <w:lang w:eastAsia="en-US"/>
        </w:rPr>
        <w:t xml:space="preserve"> the loans to the Council’s Housing Company (£</w:t>
      </w:r>
      <w:r w:rsidR="0044066A" w:rsidRPr="0044066A">
        <w:rPr>
          <w:rFonts w:cs="Arial"/>
          <w:color w:val="auto"/>
          <w:lang w:eastAsia="en-US"/>
        </w:rPr>
        <w:t>47.9</w:t>
      </w:r>
      <w:r w:rsidR="007B255A" w:rsidRPr="0044066A">
        <w:rPr>
          <w:rFonts w:cs="Arial"/>
          <w:color w:val="auto"/>
          <w:lang w:eastAsia="en-US"/>
        </w:rPr>
        <w:t>m</w:t>
      </w:r>
      <w:r w:rsidRPr="0044066A">
        <w:rPr>
          <w:rFonts w:cs="Arial"/>
          <w:color w:val="auto"/>
          <w:lang w:eastAsia="en-US"/>
        </w:rPr>
        <w:t>), the</w:t>
      </w:r>
      <w:r w:rsidRPr="00AA77C5">
        <w:rPr>
          <w:rFonts w:cs="Arial"/>
          <w:color w:val="auto"/>
          <w:lang w:eastAsia="en-US"/>
        </w:rPr>
        <w:t xml:space="preserve"> level of prudential borrowing </w:t>
      </w:r>
      <w:r w:rsidR="00A23FEE" w:rsidRPr="00AA77C5">
        <w:rPr>
          <w:rFonts w:cs="Arial"/>
          <w:color w:val="auto"/>
          <w:lang w:eastAsia="en-US"/>
        </w:rPr>
        <w:t>will</w:t>
      </w:r>
      <w:r w:rsidRPr="00AA77C5">
        <w:rPr>
          <w:rFonts w:cs="Arial"/>
          <w:color w:val="auto"/>
          <w:lang w:eastAsia="en-US"/>
        </w:rPr>
        <w:t xml:space="preserve"> increase to </w:t>
      </w:r>
      <w:r w:rsidR="00A23FEE" w:rsidRPr="0044066A">
        <w:rPr>
          <w:rFonts w:cs="Arial"/>
          <w:color w:val="auto"/>
          <w:lang w:eastAsia="en-US"/>
        </w:rPr>
        <w:t xml:space="preserve">over </w:t>
      </w:r>
      <w:r w:rsidRPr="0044066A">
        <w:rPr>
          <w:rFonts w:cs="Arial"/>
          <w:color w:val="auto"/>
          <w:lang w:eastAsia="en-US"/>
        </w:rPr>
        <w:t>£</w:t>
      </w:r>
      <w:r w:rsidR="0017255D" w:rsidRPr="0044066A">
        <w:rPr>
          <w:rFonts w:cs="Arial"/>
          <w:color w:val="auto"/>
          <w:lang w:eastAsia="en-US"/>
        </w:rPr>
        <w:t>34</w:t>
      </w:r>
      <w:r w:rsidR="0044066A" w:rsidRPr="0044066A">
        <w:rPr>
          <w:rFonts w:cs="Arial"/>
          <w:color w:val="auto"/>
          <w:lang w:eastAsia="en-US"/>
        </w:rPr>
        <w:t>3.8</w:t>
      </w:r>
      <w:r w:rsidR="0017255D" w:rsidRPr="0044066A">
        <w:rPr>
          <w:rFonts w:cs="Arial"/>
          <w:color w:val="auto"/>
          <w:lang w:eastAsia="en-US"/>
        </w:rPr>
        <w:t xml:space="preserve"> </w:t>
      </w:r>
      <w:r w:rsidRPr="0044066A">
        <w:rPr>
          <w:rFonts w:cs="Arial"/>
          <w:color w:val="auto"/>
          <w:lang w:eastAsia="en-US"/>
        </w:rPr>
        <w:t>million</w:t>
      </w:r>
      <w:r w:rsidR="002606B4" w:rsidRPr="0044066A">
        <w:rPr>
          <w:rFonts w:cs="Arial"/>
          <w:color w:val="auto"/>
          <w:lang w:eastAsia="en-US"/>
        </w:rPr>
        <w:t xml:space="preserve"> </w:t>
      </w:r>
      <w:r w:rsidR="0017255D" w:rsidRPr="0044066A">
        <w:rPr>
          <w:rFonts w:cs="Arial"/>
          <w:color w:val="auto"/>
          <w:lang w:eastAsia="en-US"/>
        </w:rPr>
        <w:t>in 202</w:t>
      </w:r>
      <w:r w:rsidR="0044066A" w:rsidRPr="0044066A">
        <w:rPr>
          <w:rFonts w:cs="Arial"/>
          <w:color w:val="auto"/>
          <w:lang w:eastAsia="en-US"/>
        </w:rPr>
        <w:t>3</w:t>
      </w:r>
      <w:r w:rsidR="0017255D" w:rsidRPr="0044066A">
        <w:rPr>
          <w:rFonts w:cs="Arial"/>
          <w:color w:val="auto"/>
          <w:lang w:eastAsia="en-US"/>
        </w:rPr>
        <w:t>/2</w:t>
      </w:r>
      <w:r w:rsidR="0044066A" w:rsidRPr="0044066A">
        <w:rPr>
          <w:rFonts w:cs="Arial"/>
          <w:color w:val="auto"/>
          <w:lang w:eastAsia="en-US"/>
        </w:rPr>
        <w:t>4</w:t>
      </w:r>
      <w:r w:rsidR="0017255D" w:rsidRPr="0044066A">
        <w:rPr>
          <w:rFonts w:cs="Arial"/>
          <w:color w:val="auto"/>
          <w:lang w:eastAsia="en-US"/>
        </w:rPr>
        <w:t xml:space="preserve"> </w:t>
      </w:r>
      <w:r w:rsidR="002606B4" w:rsidRPr="0044066A">
        <w:rPr>
          <w:rFonts w:cs="Arial"/>
          <w:color w:val="auto"/>
          <w:lang w:eastAsia="en-US"/>
        </w:rPr>
        <w:t xml:space="preserve">from the </w:t>
      </w:r>
      <w:r w:rsidR="0051623E" w:rsidRPr="0044066A">
        <w:rPr>
          <w:rFonts w:cs="Arial"/>
          <w:color w:val="auto"/>
          <w:lang w:eastAsia="en-US"/>
        </w:rPr>
        <w:t>projected</w:t>
      </w:r>
      <w:r w:rsidR="002B0E44" w:rsidRPr="0044066A">
        <w:rPr>
          <w:rFonts w:cs="Arial"/>
          <w:color w:val="auto"/>
          <w:lang w:eastAsia="en-US"/>
        </w:rPr>
        <w:t xml:space="preserve"> </w:t>
      </w:r>
      <w:r w:rsidR="002606B4" w:rsidRPr="0044066A">
        <w:rPr>
          <w:rFonts w:cs="Arial"/>
          <w:color w:val="auto"/>
          <w:lang w:eastAsia="en-US"/>
        </w:rPr>
        <w:t>£</w:t>
      </w:r>
      <w:r w:rsidR="0051623E" w:rsidRPr="0044066A">
        <w:rPr>
          <w:rFonts w:cs="Arial"/>
          <w:color w:val="auto"/>
          <w:lang w:eastAsia="en-US"/>
        </w:rPr>
        <w:t>2</w:t>
      </w:r>
      <w:r w:rsidR="0044066A" w:rsidRPr="0044066A">
        <w:rPr>
          <w:rFonts w:cs="Arial"/>
          <w:color w:val="auto"/>
          <w:lang w:eastAsia="en-US"/>
        </w:rPr>
        <w:t>47.4</w:t>
      </w:r>
      <w:r w:rsidR="002606B4" w:rsidRPr="0044066A">
        <w:rPr>
          <w:rFonts w:cs="Arial"/>
          <w:color w:val="auto"/>
          <w:lang w:eastAsia="en-US"/>
        </w:rPr>
        <w:t xml:space="preserve"> million</w:t>
      </w:r>
      <w:r w:rsidR="0017255D" w:rsidRPr="0044066A">
        <w:rPr>
          <w:rFonts w:cs="Arial"/>
          <w:color w:val="auto"/>
          <w:lang w:eastAsia="en-US"/>
        </w:rPr>
        <w:t xml:space="preserve"> </w:t>
      </w:r>
      <w:r w:rsidR="007B255A" w:rsidRPr="0044066A">
        <w:rPr>
          <w:rFonts w:cs="Arial"/>
          <w:color w:val="auto"/>
          <w:lang w:eastAsia="en-US"/>
        </w:rPr>
        <w:t>at the end of</w:t>
      </w:r>
      <w:r w:rsidR="0017255D" w:rsidRPr="0044066A">
        <w:rPr>
          <w:rFonts w:cs="Arial"/>
          <w:color w:val="auto"/>
          <w:lang w:eastAsia="en-US"/>
        </w:rPr>
        <w:t xml:space="preserve"> 201</w:t>
      </w:r>
      <w:r w:rsidR="0044066A" w:rsidRPr="0044066A">
        <w:rPr>
          <w:rFonts w:cs="Arial"/>
          <w:color w:val="auto"/>
          <w:lang w:eastAsia="en-US"/>
        </w:rPr>
        <w:t>8</w:t>
      </w:r>
      <w:r w:rsidR="0017255D" w:rsidRPr="0044066A">
        <w:rPr>
          <w:rFonts w:cs="Arial"/>
          <w:color w:val="auto"/>
          <w:lang w:eastAsia="en-US"/>
        </w:rPr>
        <w:t>/1</w:t>
      </w:r>
      <w:r w:rsidR="0044066A" w:rsidRPr="0044066A">
        <w:rPr>
          <w:rFonts w:cs="Arial"/>
          <w:color w:val="auto"/>
          <w:lang w:eastAsia="en-US"/>
        </w:rPr>
        <w:t>9</w:t>
      </w:r>
      <w:r w:rsidRPr="0044066A">
        <w:rPr>
          <w:rFonts w:cs="Arial"/>
          <w:color w:val="auto"/>
          <w:lang w:eastAsia="en-US"/>
        </w:rPr>
        <w:t>.</w:t>
      </w:r>
      <w:r w:rsidRPr="00AA77C5">
        <w:rPr>
          <w:rFonts w:cs="Arial"/>
          <w:color w:val="auto"/>
          <w:lang w:eastAsia="en-US"/>
        </w:rPr>
        <w:t xml:space="preserve">  Borrowing from</w:t>
      </w:r>
      <w:r w:rsidRPr="00A23FEE">
        <w:rPr>
          <w:rFonts w:cs="Arial"/>
          <w:color w:val="auto"/>
          <w:lang w:eastAsia="en-US"/>
        </w:rPr>
        <w:t xml:space="preserve"> internal resources will be maximised, however much of the borrowing will need to be from external resources</w:t>
      </w:r>
      <w:r w:rsidR="0017255D">
        <w:rPr>
          <w:rFonts w:cs="Arial"/>
          <w:color w:val="auto"/>
          <w:lang w:eastAsia="en-US"/>
        </w:rPr>
        <w:t xml:space="preserve"> with anticipated external borrowing increasing from £198.5 </w:t>
      </w:r>
      <w:r w:rsidR="0017255D" w:rsidRPr="0044066A">
        <w:rPr>
          <w:rFonts w:cs="Arial"/>
          <w:color w:val="auto"/>
          <w:lang w:eastAsia="en-US"/>
        </w:rPr>
        <w:t>million to £2</w:t>
      </w:r>
      <w:r w:rsidR="0044066A" w:rsidRPr="0044066A">
        <w:rPr>
          <w:rFonts w:cs="Arial"/>
          <w:color w:val="auto"/>
          <w:lang w:eastAsia="en-US"/>
        </w:rPr>
        <w:t>29</w:t>
      </w:r>
      <w:r w:rsidR="0017255D" w:rsidRPr="0044066A">
        <w:rPr>
          <w:rFonts w:cs="Arial"/>
          <w:color w:val="auto"/>
          <w:lang w:eastAsia="en-US"/>
        </w:rPr>
        <w:t>.5 million</w:t>
      </w:r>
      <w:r w:rsidR="0017255D">
        <w:rPr>
          <w:rFonts w:cs="Arial"/>
          <w:color w:val="auto"/>
          <w:lang w:eastAsia="en-US"/>
        </w:rPr>
        <w:t xml:space="preserve"> in 202</w:t>
      </w:r>
      <w:r w:rsidR="0044066A">
        <w:rPr>
          <w:rFonts w:cs="Arial"/>
          <w:color w:val="auto"/>
          <w:lang w:eastAsia="en-US"/>
        </w:rPr>
        <w:t>3</w:t>
      </w:r>
      <w:r w:rsidR="0017255D">
        <w:rPr>
          <w:rFonts w:cs="Arial"/>
          <w:color w:val="auto"/>
          <w:lang w:eastAsia="en-US"/>
        </w:rPr>
        <w:t>/2</w:t>
      </w:r>
      <w:r w:rsidR="0044066A">
        <w:rPr>
          <w:rFonts w:cs="Arial"/>
          <w:color w:val="auto"/>
          <w:lang w:eastAsia="en-US"/>
        </w:rPr>
        <w:t>4</w:t>
      </w:r>
      <w:r w:rsidRPr="00A23FEE">
        <w:rPr>
          <w:rFonts w:cs="Arial"/>
          <w:color w:val="auto"/>
          <w:lang w:eastAsia="en-US"/>
        </w:rPr>
        <w:t>.</w:t>
      </w:r>
      <w:r w:rsidR="00A23FEE" w:rsidRPr="00A23FEE">
        <w:rPr>
          <w:rFonts w:cs="Arial"/>
          <w:color w:val="auto"/>
          <w:lang w:eastAsia="en-US"/>
        </w:rPr>
        <w:t xml:space="preserve">  </w:t>
      </w:r>
      <w:r w:rsidRPr="00A23FEE">
        <w:rPr>
          <w:rFonts w:cs="Arial"/>
          <w:color w:val="auto"/>
          <w:lang w:eastAsia="en-US"/>
        </w:rPr>
        <w:t xml:space="preserve">The Housing Capital Programme is </w:t>
      </w:r>
      <w:r w:rsidR="00D05C2B">
        <w:rPr>
          <w:rFonts w:cs="Arial"/>
          <w:color w:val="auto"/>
          <w:lang w:eastAsia="en-US"/>
        </w:rPr>
        <w:t xml:space="preserve">largely </w:t>
      </w:r>
      <w:r w:rsidRPr="00A23FEE">
        <w:rPr>
          <w:rFonts w:cs="Arial"/>
          <w:color w:val="auto"/>
          <w:lang w:eastAsia="en-US"/>
        </w:rPr>
        <w:t xml:space="preserve">funded directly from </w:t>
      </w:r>
      <w:r w:rsidR="00413FD8" w:rsidRPr="00A23FEE">
        <w:rPr>
          <w:rFonts w:cs="Arial"/>
          <w:color w:val="auto"/>
          <w:lang w:eastAsia="en-US"/>
        </w:rPr>
        <w:t>c</w:t>
      </w:r>
      <w:r w:rsidRPr="00A23FEE">
        <w:rPr>
          <w:rFonts w:cs="Arial"/>
          <w:color w:val="auto"/>
          <w:lang w:eastAsia="en-US"/>
        </w:rPr>
        <w:t xml:space="preserve">ouncil </w:t>
      </w:r>
      <w:r w:rsidR="00413FD8" w:rsidRPr="00A23FEE">
        <w:rPr>
          <w:rFonts w:cs="Arial"/>
          <w:color w:val="auto"/>
          <w:lang w:eastAsia="en-US"/>
        </w:rPr>
        <w:t>h</w:t>
      </w:r>
      <w:r w:rsidR="00A23FEE">
        <w:rPr>
          <w:rFonts w:cs="Arial"/>
          <w:color w:val="auto"/>
          <w:lang w:eastAsia="en-US"/>
        </w:rPr>
        <w:t>ouse rents.</w:t>
      </w:r>
    </w:p>
    <w:p w:rsidR="00A23FEE" w:rsidRDefault="00A23FEE" w:rsidP="00A23FEE">
      <w:pPr>
        <w:spacing w:after="0"/>
        <w:contextualSpacing/>
        <w:rPr>
          <w:rFonts w:cs="Arial"/>
          <w:color w:val="auto"/>
          <w:lang w:eastAsia="en-US"/>
        </w:rPr>
      </w:pPr>
    </w:p>
    <w:p w:rsidR="004F1AB7" w:rsidRDefault="004F1AB7" w:rsidP="0020712A">
      <w:pPr>
        <w:numPr>
          <w:ilvl w:val="0"/>
          <w:numId w:val="6"/>
        </w:numPr>
        <w:spacing w:after="0"/>
        <w:contextualSpacing/>
        <w:rPr>
          <w:rFonts w:cs="Arial"/>
          <w:color w:val="auto"/>
          <w:lang w:eastAsia="en-US"/>
        </w:rPr>
      </w:pPr>
      <w:r>
        <w:rPr>
          <w:rFonts w:cs="Arial"/>
          <w:color w:val="auto"/>
          <w:lang w:eastAsia="en-US"/>
        </w:rPr>
        <w:t xml:space="preserve">The </w:t>
      </w:r>
      <w:r w:rsidRPr="004F1AB7">
        <w:rPr>
          <w:rFonts w:cs="Arial"/>
          <w:color w:val="auto"/>
          <w:lang w:eastAsia="en-US"/>
        </w:rPr>
        <w:t xml:space="preserve">CIPFA Prudential Code and the CIPFA Treasury Management Code of Practice </w:t>
      </w:r>
      <w:r>
        <w:rPr>
          <w:rFonts w:cs="Arial"/>
          <w:color w:val="auto"/>
          <w:lang w:eastAsia="en-US"/>
        </w:rPr>
        <w:t xml:space="preserve">were revised in late 2017 and have to be fully adopted from 2019/20 onwards.  The codes include a requirement to produce a Capital Strategy (which the Council already did) and included additional requirements for this and also for non-Treasury Investments.  In order to maintain the clarity between Treasury and non-Treasury Management Activity, all </w:t>
      </w:r>
      <w:proofErr w:type="spellStart"/>
      <w:r>
        <w:rPr>
          <w:rFonts w:cs="Arial"/>
          <w:color w:val="auto"/>
          <w:lang w:eastAsia="en-US"/>
        </w:rPr>
        <w:t>non Treasury</w:t>
      </w:r>
      <w:proofErr w:type="spellEnd"/>
      <w:r>
        <w:rPr>
          <w:rFonts w:cs="Arial"/>
          <w:color w:val="auto"/>
          <w:lang w:eastAsia="en-US"/>
        </w:rPr>
        <w:t xml:space="preserve"> Investments are covered by the Capital Strategy.</w:t>
      </w:r>
    </w:p>
    <w:p w:rsidR="004F1AB7" w:rsidRDefault="004F1AB7" w:rsidP="007200F7">
      <w:pPr>
        <w:pStyle w:val="ListParagraph"/>
        <w:numPr>
          <w:ilvl w:val="0"/>
          <w:numId w:val="0"/>
        </w:numPr>
        <w:ind w:left="426"/>
        <w:rPr>
          <w:rFonts w:cs="Arial"/>
          <w:color w:val="auto"/>
          <w:lang w:eastAsia="en-US"/>
        </w:rPr>
      </w:pPr>
    </w:p>
    <w:p w:rsidR="00A23FEE" w:rsidRDefault="004F1AB7" w:rsidP="0020712A">
      <w:pPr>
        <w:numPr>
          <w:ilvl w:val="0"/>
          <w:numId w:val="6"/>
        </w:numPr>
        <w:spacing w:after="0"/>
        <w:contextualSpacing/>
        <w:rPr>
          <w:rFonts w:cs="Arial"/>
          <w:color w:val="auto"/>
          <w:lang w:eastAsia="en-US"/>
        </w:rPr>
      </w:pPr>
      <w:r>
        <w:rPr>
          <w:rFonts w:cs="Arial"/>
          <w:color w:val="auto"/>
          <w:lang w:eastAsia="en-US"/>
        </w:rPr>
        <w:t xml:space="preserve">All Prudential Indicators continue to be covered together in the Treasury Strategy.  This will allow the indicators to be seen as a whole and in the context of Treasury Management activity to which they are closely related.  There are, however, some cross-overs to areas covered by the Capital Strategy. </w:t>
      </w:r>
    </w:p>
    <w:p w:rsidR="00C37CEE" w:rsidRPr="005E1929" w:rsidRDefault="00C37CEE" w:rsidP="005E1929">
      <w:pPr>
        <w:rPr>
          <w:rFonts w:cs="Arial"/>
          <w:color w:val="auto"/>
          <w:lang w:eastAsia="en-US"/>
        </w:rPr>
      </w:pPr>
    </w:p>
    <w:p w:rsidR="00C37CEE" w:rsidRDefault="00C37CEE" w:rsidP="00C37CEE">
      <w:pPr>
        <w:numPr>
          <w:ilvl w:val="0"/>
          <w:numId w:val="6"/>
        </w:numPr>
        <w:spacing w:after="0"/>
        <w:contextualSpacing/>
        <w:rPr>
          <w:rFonts w:cs="Arial"/>
          <w:color w:val="auto"/>
          <w:lang w:eastAsia="en-US"/>
        </w:rPr>
      </w:pPr>
      <w:r>
        <w:rPr>
          <w:rFonts w:cs="Arial"/>
          <w:color w:val="auto"/>
          <w:lang w:eastAsia="en-US"/>
        </w:rPr>
        <w:t xml:space="preserve">The Prudential Indicators have been revised in line with the revised Codes of Practice.  Additional disclosures are included to cover the Government’s focus on </w:t>
      </w:r>
      <w:r w:rsidRPr="00C37CEE">
        <w:rPr>
          <w:rFonts w:cs="Arial"/>
          <w:color w:val="auto"/>
          <w:lang w:eastAsia="en-US"/>
        </w:rPr>
        <w:t>“commercial activities” and non-financial investments such as loans to the Council’s Companies and expenditure on investment properties</w:t>
      </w:r>
      <w:r>
        <w:rPr>
          <w:rFonts w:cs="Arial"/>
          <w:color w:val="auto"/>
          <w:lang w:eastAsia="en-US"/>
        </w:rPr>
        <w:t>.  This focus has occurred due to some Councils (which have been featured in the press) incurring substantial expenditure buying investment properties to support their revenue budgets.</w:t>
      </w:r>
    </w:p>
    <w:p w:rsidR="00BA014E" w:rsidRDefault="00BA014E" w:rsidP="00BA014E">
      <w:pPr>
        <w:spacing w:after="0"/>
        <w:ind w:left="360"/>
        <w:contextualSpacing/>
        <w:rPr>
          <w:rFonts w:cs="Arial"/>
          <w:color w:val="auto"/>
          <w:lang w:eastAsia="en-US"/>
        </w:rPr>
      </w:pPr>
    </w:p>
    <w:p w:rsidR="007200F7" w:rsidRDefault="007200F7" w:rsidP="0020712A">
      <w:pPr>
        <w:numPr>
          <w:ilvl w:val="0"/>
          <w:numId w:val="6"/>
        </w:numPr>
        <w:spacing w:after="0"/>
        <w:contextualSpacing/>
        <w:rPr>
          <w:rFonts w:cs="Arial"/>
          <w:color w:val="auto"/>
          <w:lang w:eastAsia="en-US"/>
        </w:rPr>
      </w:pPr>
      <w:r>
        <w:rPr>
          <w:rFonts w:cs="Arial"/>
          <w:color w:val="auto"/>
          <w:lang w:eastAsia="en-US"/>
        </w:rPr>
        <w:lastRenderedPageBreak/>
        <w:t>The MRP Statement has been amended to clarify the position in relation to assets leased to Oxford Direct Services</w:t>
      </w:r>
      <w:r w:rsidR="00D05C2B">
        <w:rPr>
          <w:rFonts w:cs="Arial"/>
          <w:color w:val="auto"/>
          <w:lang w:eastAsia="en-US"/>
        </w:rPr>
        <w:t xml:space="preserve"> Ltd</w:t>
      </w:r>
      <w:r>
        <w:rPr>
          <w:rFonts w:cs="Arial"/>
          <w:color w:val="auto"/>
          <w:lang w:eastAsia="en-US"/>
        </w:rPr>
        <w:t>.</w:t>
      </w:r>
    </w:p>
    <w:p w:rsidR="00BA014E" w:rsidRDefault="00BA014E" w:rsidP="00BA014E">
      <w:pPr>
        <w:pStyle w:val="ListParagraph"/>
        <w:numPr>
          <w:ilvl w:val="0"/>
          <w:numId w:val="0"/>
        </w:numPr>
        <w:ind w:left="426"/>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Revised reporting is required for the 2019/20 reporting cycle due to revisions of the MHCLG Investment Guidance, the MHCLG Minimum Revenue Provision (MRP) Guidance, the CIPFA Prudential Code and the CIPFA Treasury Management Code</w:t>
      </w:r>
      <w:r w:rsidR="00C95BBF">
        <w:rPr>
          <w:rFonts w:cs="Arial"/>
          <w:color w:val="auto"/>
          <w:lang w:eastAsia="en-US"/>
        </w:rPr>
        <w:t xml:space="preserve"> and to this end amendments have been made to include all of the requirements within the Council’s strategies.</w:t>
      </w:r>
    </w:p>
    <w:p w:rsidR="007200F7" w:rsidRPr="00010297" w:rsidRDefault="007200F7" w:rsidP="007200F7">
      <w:pPr>
        <w:pStyle w:val="Heading1"/>
      </w:pPr>
      <w:r>
        <w:t>Banking and Treasury Management Arrangements in relation to the Companies</w:t>
      </w:r>
    </w:p>
    <w:p w:rsidR="007200F7" w:rsidRDefault="007200F7" w:rsidP="0020712A">
      <w:pPr>
        <w:numPr>
          <w:ilvl w:val="0"/>
          <w:numId w:val="6"/>
        </w:numPr>
        <w:spacing w:after="0"/>
        <w:contextualSpacing/>
        <w:rPr>
          <w:rFonts w:cs="Arial"/>
          <w:color w:val="auto"/>
          <w:lang w:eastAsia="en-US"/>
        </w:rPr>
      </w:pPr>
      <w:r>
        <w:rPr>
          <w:rFonts w:cs="Arial"/>
          <w:color w:val="auto"/>
          <w:lang w:eastAsia="en-US"/>
        </w:rPr>
        <w:t>The Company Boards approved that the bank accounts relating to the Council’s wholly owned companies are grouped with the Council’s bank accounts for the purposes of cash flow management and investment.  The Boards of the Companies adopted Treasury Management principles in line with the Council’s Treasury Management Strategy.  This has the following advantages:</w:t>
      </w:r>
    </w:p>
    <w:p w:rsidR="007200F7" w:rsidRPr="00A91070" w:rsidRDefault="007200F7" w:rsidP="0020712A">
      <w:pPr>
        <w:pStyle w:val="bParagraphtext"/>
        <w:numPr>
          <w:ilvl w:val="0"/>
          <w:numId w:val="15"/>
        </w:numPr>
        <w:spacing w:after="0"/>
        <w:ind w:left="1077" w:hanging="357"/>
        <w:rPr>
          <w:color w:val="auto"/>
        </w:rPr>
      </w:pPr>
      <w:r w:rsidRPr="00A91070">
        <w:rPr>
          <w:color w:val="auto"/>
        </w:rPr>
        <w:t xml:space="preserve">The </w:t>
      </w:r>
      <w:proofErr w:type="spellStart"/>
      <w:r w:rsidRPr="00A91070">
        <w:rPr>
          <w:color w:val="auto"/>
        </w:rPr>
        <w:t>cashflows</w:t>
      </w:r>
      <w:proofErr w:type="spellEnd"/>
      <w:r w:rsidRPr="00A91070">
        <w:rPr>
          <w:color w:val="auto"/>
        </w:rPr>
        <w:t xml:space="preserve"> of the companies c</w:t>
      </w:r>
      <w:r>
        <w:rPr>
          <w:color w:val="auto"/>
        </w:rPr>
        <w:t>an</w:t>
      </w:r>
      <w:r w:rsidRPr="00A91070">
        <w:rPr>
          <w:color w:val="auto"/>
        </w:rPr>
        <w:t xml:space="preserve"> be managed within the Council’s current arrangements for treasury management</w:t>
      </w:r>
    </w:p>
    <w:p w:rsidR="007200F7" w:rsidRPr="00A91070" w:rsidRDefault="007200F7" w:rsidP="0020712A">
      <w:pPr>
        <w:pStyle w:val="bParagraphtext"/>
        <w:numPr>
          <w:ilvl w:val="0"/>
          <w:numId w:val="15"/>
        </w:numPr>
        <w:spacing w:after="0"/>
        <w:ind w:left="1077" w:hanging="357"/>
        <w:rPr>
          <w:color w:val="auto"/>
        </w:rPr>
      </w:pPr>
      <w:r w:rsidRPr="00A91070">
        <w:rPr>
          <w:color w:val="auto"/>
        </w:rPr>
        <w:t xml:space="preserve">Overdrafts </w:t>
      </w:r>
      <w:r>
        <w:rPr>
          <w:color w:val="auto"/>
        </w:rPr>
        <w:t>do</w:t>
      </w:r>
      <w:r w:rsidRPr="00A91070">
        <w:rPr>
          <w:color w:val="auto"/>
        </w:rPr>
        <w:t xml:space="preserve"> not need to be arranged and paid for either for the Companies’ </w:t>
      </w:r>
      <w:r>
        <w:rPr>
          <w:color w:val="auto"/>
        </w:rPr>
        <w:t xml:space="preserve">bank </w:t>
      </w:r>
      <w:r w:rsidRPr="00A91070">
        <w:rPr>
          <w:color w:val="auto"/>
        </w:rPr>
        <w:t>accounts</w:t>
      </w:r>
    </w:p>
    <w:p w:rsidR="007200F7" w:rsidRPr="00A91070" w:rsidRDefault="007200F7" w:rsidP="0020712A">
      <w:pPr>
        <w:pStyle w:val="bParagraphtext"/>
        <w:numPr>
          <w:ilvl w:val="0"/>
          <w:numId w:val="15"/>
        </w:numPr>
        <w:spacing w:after="0"/>
        <w:ind w:left="1077" w:hanging="357"/>
        <w:rPr>
          <w:color w:val="auto"/>
        </w:rPr>
      </w:pPr>
      <w:r w:rsidRPr="00A91070">
        <w:rPr>
          <w:color w:val="auto"/>
        </w:rPr>
        <w:t>Working capital draw down c</w:t>
      </w:r>
      <w:r>
        <w:rPr>
          <w:color w:val="auto"/>
        </w:rPr>
        <w:t>an</w:t>
      </w:r>
      <w:r w:rsidRPr="00A91070">
        <w:rPr>
          <w:color w:val="auto"/>
        </w:rPr>
        <w:t xml:space="preserve"> be minimised based on actual </w:t>
      </w:r>
      <w:proofErr w:type="spellStart"/>
      <w:r w:rsidRPr="00A91070">
        <w:rPr>
          <w:color w:val="auto"/>
        </w:rPr>
        <w:t>cashflow</w:t>
      </w:r>
      <w:proofErr w:type="spellEnd"/>
      <w:r w:rsidRPr="00A91070">
        <w:rPr>
          <w:color w:val="auto"/>
        </w:rPr>
        <w:t xml:space="preserve"> required to balance the accounts to nil (calculated on a notional basis with no</w:t>
      </w:r>
      <w:r>
        <w:rPr>
          <w:color w:val="auto"/>
        </w:rPr>
        <w:t xml:space="preserve"> or limited</w:t>
      </w:r>
      <w:r w:rsidRPr="00A91070">
        <w:rPr>
          <w:color w:val="auto"/>
        </w:rPr>
        <w:t xml:space="preserve"> need for cash transfers)</w:t>
      </w:r>
    </w:p>
    <w:p w:rsidR="007200F7" w:rsidRPr="00393FAD" w:rsidRDefault="007200F7" w:rsidP="0020712A">
      <w:pPr>
        <w:pStyle w:val="bParagraphtext"/>
        <w:numPr>
          <w:ilvl w:val="0"/>
          <w:numId w:val="15"/>
        </w:numPr>
        <w:spacing w:after="0"/>
        <w:ind w:left="1077" w:hanging="357"/>
        <w:rPr>
          <w:color w:val="auto"/>
        </w:rPr>
      </w:pPr>
      <w:r>
        <w:rPr>
          <w:color w:val="auto"/>
        </w:rPr>
        <w:t>A</w:t>
      </w:r>
      <w:r w:rsidRPr="00393FAD">
        <w:rPr>
          <w:color w:val="auto"/>
        </w:rPr>
        <w:t xml:space="preserve">doption of the Council’s </w:t>
      </w:r>
      <w:r>
        <w:rPr>
          <w:color w:val="auto"/>
        </w:rPr>
        <w:t>Treasury Management principles</w:t>
      </w:r>
      <w:r w:rsidRPr="00393FAD">
        <w:rPr>
          <w:color w:val="auto"/>
        </w:rPr>
        <w:t xml:space="preserve">, </w:t>
      </w:r>
      <w:r>
        <w:rPr>
          <w:color w:val="auto"/>
        </w:rPr>
        <w:t xml:space="preserve">means that </w:t>
      </w:r>
      <w:r w:rsidRPr="00393FAD">
        <w:rPr>
          <w:color w:val="auto"/>
        </w:rPr>
        <w:t>the Companies c</w:t>
      </w:r>
      <w:r>
        <w:rPr>
          <w:color w:val="auto"/>
        </w:rPr>
        <w:t>an</w:t>
      </w:r>
      <w:r w:rsidRPr="00393FAD">
        <w:rPr>
          <w:color w:val="auto"/>
        </w:rPr>
        <w:t xml:space="preserve"> earn interest on any positive balances in line with that achieved by the Council</w:t>
      </w:r>
      <w:r>
        <w:rPr>
          <w:color w:val="auto"/>
        </w:rPr>
        <w:t xml:space="preserve"> (excluding investments in property funds)</w:t>
      </w:r>
    </w:p>
    <w:p w:rsidR="007200F7" w:rsidRPr="00A91070" w:rsidRDefault="007200F7" w:rsidP="0020712A">
      <w:pPr>
        <w:pStyle w:val="bParagraphtext"/>
        <w:numPr>
          <w:ilvl w:val="0"/>
          <w:numId w:val="15"/>
        </w:numPr>
        <w:spacing w:after="0"/>
        <w:ind w:left="1077" w:hanging="357"/>
        <w:rPr>
          <w:color w:val="auto"/>
        </w:rPr>
      </w:pPr>
      <w:r w:rsidRPr="00A91070">
        <w:rPr>
          <w:color w:val="auto"/>
        </w:rPr>
        <w:t xml:space="preserve">There </w:t>
      </w:r>
      <w:r>
        <w:rPr>
          <w:color w:val="auto"/>
        </w:rPr>
        <w:t>is</w:t>
      </w:r>
      <w:r w:rsidRPr="00A91070">
        <w:rPr>
          <w:color w:val="auto"/>
        </w:rPr>
        <w:t xml:space="preserve"> no need for</w:t>
      </w:r>
      <w:r>
        <w:rPr>
          <w:color w:val="auto"/>
        </w:rPr>
        <w:t xml:space="preserve"> the Companies to comply separately with Mi</w:t>
      </w:r>
      <w:r w:rsidRPr="00A91070">
        <w:rPr>
          <w:color w:val="auto"/>
        </w:rPr>
        <w:t>FID II</w:t>
      </w:r>
      <w:r>
        <w:rPr>
          <w:color w:val="auto"/>
        </w:rPr>
        <w:t xml:space="preserve"> to undertake investments under a professional status; due to the lack of treasury management history and an investment portfolio that does not meet the minimum levels, professional status would not be able to be achieved, thus limiting investment options</w:t>
      </w:r>
    </w:p>
    <w:p w:rsidR="007200F7" w:rsidRDefault="007200F7" w:rsidP="0020712A">
      <w:pPr>
        <w:pStyle w:val="bParagraphtext"/>
        <w:numPr>
          <w:ilvl w:val="0"/>
          <w:numId w:val="15"/>
        </w:numPr>
        <w:spacing w:after="0"/>
        <w:ind w:left="1077" w:hanging="357"/>
        <w:rPr>
          <w:color w:val="auto"/>
        </w:rPr>
      </w:pPr>
      <w:r w:rsidRPr="00A91070">
        <w:rPr>
          <w:color w:val="auto"/>
        </w:rPr>
        <w:t xml:space="preserve">The Council </w:t>
      </w:r>
      <w:r>
        <w:rPr>
          <w:color w:val="auto"/>
        </w:rPr>
        <w:t>does</w:t>
      </w:r>
      <w:r w:rsidRPr="00A91070">
        <w:rPr>
          <w:color w:val="auto"/>
        </w:rPr>
        <w:t xml:space="preserve"> not need to apply for </w:t>
      </w:r>
      <w:r w:rsidR="00D05C2B">
        <w:rPr>
          <w:color w:val="auto"/>
        </w:rPr>
        <w:t>Financial Conduct Authority, (</w:t>
      </w:r>
      <w:r w:rsidRPr="00A91070">
        <w:rPr>
          <w:color w:val="auto"/>
        </w:rPr>
        <w:t>FCA</w:t>
      </w:r>
      <w:r w:rsidR="00D05C2B">
        <w:rPr>
          <w:color w:val="auto"/>
        </w:rPr>
        <w:t>)</w:t>
      </w:r>
      <w:r w:rsidRPr="00A91070">
        <w:rPr>
          <w:color w:val="auto"/>
        </w:rPr>
        <w:t xml:space="preserve"> registration and therefore </w:t>
      </w:r>
      <w:r>
        <w:rPr>
          <w:color w:val="auto"/>
        </w:rPr>
        <w:t>does</w:t>
      </w:r>
      <w:r w:rsidRPr="00A91070">
        <w:rPr>
          <w:color w:val="auto"/>
        </w:rPr>
        <w:t xml:space="preserve"> not need to incur </w:t>
      </w:r>
      <w:r>
        <w:rPr>
          <w:color w:val="auto"/>
        </w:rPr>
        <w:t xml:space="preserve">the </w:t>
      </w:r>
      <w:r w:rsidRPr="00A91070">
        <w:rPr>
          <w:color w:val="auto"/>
        </w:rPr>
        <w:t xml:space="preserve">additional costs </w:t>
      </w:r>
      <w:r>
        <w:rPr>
          <w:color w:val="auto"/>
        </w:rPr>
        <w:t xml:space="preserve">of doing so.  Additional costs would be chargeable </w:t>
      </w:r>
      <w:r w:rsidRPr="00A91070">
        <w:rPr>
          <w:color w:val="auto"/>
        </w:rPr>
        <w:t>to the Companies</w:t>
      </w:r>
      <w:r>
        <w:rPr>
          <w:color w:val="auto"/>
        </w:rPr>
        <w:t>, but is an unnecessary additional expense which has been avoided due to agreement being reached on Treasury Management principles and processes</w:t>
      </w:r>
      <w:r w:rsidRPr="00A91070">
        <w:rPr>
          <w:color w:val="auto"/>
        </w:rPr>
        <w:t>.</w:t>
      </w:r>
    </w:p>
    <w:p w:rsidR="00E95325" w:rsidRPr="00010297" w:rsidRDefault="00E95325" w:rsidP="00E95325">
      <w:pPr>
        <w:pStyle w:val="Heading1"/>
      </w:pPr>
      <w:r>
        <w:t>Loans to the Council’s Companies</w:t>
      </w:r>
    </w:p>
    <w:p w:rsidR="00E95325" w:rsidRDefault="00E95325" w:rsidP="00E95325">
      <w:pPr>
        <w:numPr>
          <w:ilvl w:val="0"/>
          <w:numId w:val="6"/>
        </w:numPr>
        <w:spacing w:after="0"/>
        <w:contextualSpacing/>
        <w:rPr>
          <w:rFonts w:cs="Arial"/>
          <w:color w:val="auto"/>
          <w:lang w:eastAsia="en-US"/>
        </w:rPr>
      </w:pPr>
      <w:r>
        <w:rPr>
          <w:rFonts w:cs="Arial"/>
          <w:color w:val="auto"/>
          <w:lang w:eastAsia="en-US"/>
        </w:rPr>
        <w:t xml:space="preserve">Over the life of the Council’s Medium Term Financial </w:t>
      </w:r>
      <w:r w:rsidR="005A33FE">
        <w:rPr>
          <w:rFonts w:cs="Arial"/>
          <w:color w:val="auto"/>
          <w:lang w:eastAsia="en-US"/>
        </w:rPr>
        <w:t>Strategy</w:t>
      </w:r>
      <w:r>
        <w:rPr>
          <w:rFonts w:cs="Arial"/>
          <w:color w:val="auto"/>
          <w:lang w:eastAsia="en-US"/>
        </w:rPr>
        <w:t xml:space="preserve"> it is assumed that the Council will give loans to the Council’s Housing Company to the value of around £48 million.  Whereas these are not Treasury investments, there is however a positive impact on the Council’s net investment income due to a </w:t>
      </w:r>
      <w:proofErr w:type="spellStart"/>
      <w:r>
        <w:rPr>
          <w:rFonts w:cs="Arial"/>
          <w:color w:val="auto"/>
          <w:lang w:eastAsia="en-US"/>
        </w:rPr>
        <w:t>markup</w:t>
      </w:r>
      <w:proofErr w:type="spellEnd"/>
      <w:r>
        <w:rPr>
          <w:rFonts w:cs="Arial"/>
          <w:color w:val="auto"/>
          <w:lang w:eastAsia="en-US"/>
        </w:rPr>
        <w:t xml:space="preserve"> being charged on the loans of at least 1%.  </w:t>
      </w:r>
      <w:r w:rsidR="00E363EA">
        <w:rPr>
          <w:rFonts w:cs="Arial"/>
          <w:color w:val="auto"/>
          <w:lang w:eastAsia="en-US"/>
        </w:rPr>
        <w:t>As at the end of December 2018 the Council had loans outstanding to Oxford West End Developments (</w:t>
      </w:r>
      <w:proofErr w:type="spellStart"/>
      <w:r w:rsidR="00E363EA">
        <w:rPr>
          <w:rFonts w:cs="Arial"/>
          <w:color w:val="auto"/>
          <w:lang w:eastAsia="en-US"/>
        </w:rPr>
        <w:t>OxWED</w:t>
      </w:r>
      <w:proofErr w:type="spellEnd"/>
      <w:r w:rsidR="00E363EA">
        <w:rPr>
          <w:rFonts w:cs="Arial"/>
          <w:color w:val="auto"/>
          <w:lang w:eastAsia="en-US"/>
        </w:rPr>
        <w:t>) of £10.8 million and to the Housing Company of £1.1 million with interest due on these of £740k per annum.</w:t>
      </w:r>
    </w:p>
    <w:p w:rsidR="00E363EA" w:rsidRPr="00010297" w:rsidRDefault="00FD781D" w:rsidP="00E363EA">
      <w:pPr>
        <w:pStyle w:val="Heading1"/>
      </w:pPr>
      <w:r>
        <w:t>Interest and Economic Outlook</w:t>
      </w:r>
    </w:p>
    <w:p w:rsidR="00FD781D" w:rsidRDefault="00FD781D" w:rsidP="00FD781D">
      <w:pPr>
        <w:numPr>
          <w:ilvl w:val="0"/>
          <w:numId w:val="6"/>
        </w:numPr>
        <w:spacing w:after="0"/>
        <w:contextualSpacing/>
        <w:rPr>
          <w:rFonts w:cs="Arial"/>
          <w:color w:val="auto"/>
          <w:lang w:eastAsia="en-US"/>
        </w:rPr>
      </w:pPr>
      <w:r w:rsidRPr="00FD781D">
        <w:rPr>
          <w:rFonts w:cs="Arial"/>
          <w:color w:val="auto"/>
          <w:lang w:eastAsia="en-US"/>
        </w:rPr>
        <w:t xml:space="preserve">The future trend is for gilt yields, and consequently PWLB rates, to rise, albeit gently.  Rising bond yields in the US have also caused some upward pressure on </w:t>
      </w:r>
      <w:r w:rsidRPr="00FD781D">
        <w:rPr>
          <w:rFonts w:cs="Arial"/>
          <w:color w:val="auto"/>
          <w:lang w:eastAsia="en-US"/>
        </w:rPr>
        <w:lastRenderedPageBreak/>
        <w:t>bond yields in the UK and other developed economies</w:t>
      </w:r>
      <w:r w:rsidR="001B3DC6">
        <w:rPr>
          <w:rFonts w:cs="Arial"/>
          <w:color w:val="auto"/>
          <w:lang w:eastAsia="en-US"/>
        </w:rPr>
        <w:t>, h</w:t>
      </w:r>
      <w:r w:rsidRPr="00FD781D">
        <w:rPr>
          <w:rFonts w:cs="Arial"/>
          <w:color w:val="auto"/>
          <w:lang w:eastAsia="en-US"/>
        </w:rPr>
        <w:t xml:space="preserve">owever, the degree of that upward pressure has been dampened by how strong or weak the prospects for economic growth and rising inflation are in each country, and on the degree of progress towards the reversal of monetary policy away from quantitative easing and other credit stimulus measures. </w:t>
      </w:r>
      <w:r w:rsidR="001B3DC6">
        <w:rPr>
          <w:rFonts w:cs="Arial"/>
          <w:color w:val="auto"/>
          <w:lang w:eastAsia="en-US"/>
        </w:rPr>
        <w:t xml:space="preserve"> </w:t>
      </w:r>
      <w:r w:rsidRPr="00FD781D">
        <w:rPr>
          <w:rFonts w:cs="Arial"/>
          <w:color w:val="auto"/>
          <w:lang w:eastAsia="en-US"/>
        </w:rPr>
        <w:t>From time to time, gilt yields, and therefore PWLB rates, can be subject to exceptional levels of volatility due to geo-political</w:t>
      </w:r>
      <w:r w:rsidR="001B3DC6">
        <w:rPr>
          <w:rFonts w:cs="Arial"/>
          <w:color w:val="auto"/>
          <w:lang w:eastAsia="en-US"/>
        </w:rPr>
        <w:t xml:space="preserve"> reasons</w:t>
      </w:r>
      <w:r w:rsidRPr="00FD781D">
        <w:rPr>
          <w:rFonts w:cs="Arial"/>
          <w:color w:val="auto"/>
          <w:lang w:eastAsia="en-US"/>
        </w:rPr>
        <w:t xml:space="preserve">, sovereign debt crisis, emerging market developments and sharp changes in investor sentiment. </w:t>
      </w:r>
      <w:r w:rsidR="001B3DC6">
        <w:rPr>
          <w:rFonts w:cs="Arial"/>
          <w:color w:val="auto"/>
          <w:lang w:eastAsia="en-US"/>
        </w:rPr>
        <w:t xml:space="preserve"> </w:t>
      </w:r>
      <w:r w:rsidRPr="00FD781D">
        <w:rPr>
          <w:rFonts w:cs="Arial"/>
          <w:color w:val="auto"/>
          <w:lang w:eastAsia="en-US"/>
        </w:rPr>
        <w:t>Such volatility could occur at any time during the forecast period</w:t>
      </w:r>
      <w:r w:rsidR="001B3DC6">
        <w:rPr>
          <w:rFonts w:cs="Arial"/>
          <w:color w:val="auto"/>
          <w:lang w:eastAsia="en-US"/>
        </w:rPr>
        <w:t xml:space="preserve"> and as such, given that the Council is projecting a need to borrow over the term of the MTFP, PWLB interest rate are closely monitored in case earlier borrowing becomes advantageous</w:t>
      </w:r>
      <w:r w:rsidRPr="00FD781D">
        <w:rPr>
          <w:rFonts w:cs="Arial"/>
          <w:color w:val="auto"/>
          <w:lang w:eastAsia="en-US"/>
        </w:rPr>
        <w:t>.  Economic and interest rate forecasting remains difficult with so many external</w:t>
      </w:r>
      <w:r w:rsidR="001B3DC6">
        <w:rPr>
          <w:rFonts w:cs="Arial"/>
          <w:color w:val="auto"/>
          <w:lang w:eastAsia="en-US"/>
        </w:rPr>
        <w:t xml:space="preserve"> influences weighing on the UK.</w:t>
      </w:r>
    </w:p>
    <w:p w:rsidR="001B3DC6" w:rsidRDefault="001B3DC6" w:rsidP="00C37CEE">
      <w:pPr>
        <w:spacing w:after="0"/>
        <w:contextualSpacing/>
        <w:rPr>
          <w:rFonts w:cs="Arial"/>
          <w:color w:val="auto"/>
          <w:lang w:eastAsia="en-US"/>
        </w:rPr>
      </w:pPr>
    </w:p>
    <w:p w:rsidR="00E363EA" w:rsidRDefault="00FD781D" w:rsidP="00FD781D">
      <w:pPr>
        <w:numPr>
          <w:ilvl w:val="0"/>
          <w:numId w:val="6"/>
        </w:numPr>
        <w:spacing w:after="0"/>
        <w:contextualSpacing/>
        <w:rPr>
          <w:rFonts w:cs="Arial"/>
          <w:color w:val="auto"/>
          <w:lang w:eastAsia="en-US"/>
        </w:rPr>
      </w:pPr>
      <w:r>
        <w:rPr>
          <w:rFonts w:cs="Arial"/>
          <w:color w:val="auto"/>
          <w:lang w:eastAsia="en-US"/>
        </w:rPr>
        <w:t>I</w:t>
      </w:r>
      <w:r w:rsidRPr="00FD781D">
        <w:rPr>
          <w:rFonts w:cs="Arial"/>
          <w:color w:val="auto"/>
          <w:lang w:eastAsia="en-US"/>
        </w:rPr>
        <w:t>t is unlikely that the M</w:t>
      </w:r>
      <w:r>
        <w:rPr>
          <w:rFonts w:cs="Arial"/>
          <w:color w:val="auto"/>
          <w:lang w:eastAsia="en-US"/>
        </w:rPr>
        <w:t xml:space="preserve">onetary </w:t>
      </w:r>
      <w:r w:rsidRPr="00FD781D">
        <w:rPr>
          <w:rFonts w:cs="Arial"/>
          <w:color w:val="auto"/>
          <w:lang w:eastAsia="en-US"/>
        </w:rPr>
        <w:t>P</w:t>
      </w:r>
      <w:r>
        <w:rPr>
          <w:rFonts w:cs="Arial"/>
          <w:color w:val="auto"/>
          <w:lang w:eastAsia="en-US"/>
        </w:rPr>
        <w:t xml:space="preserve">olicy </w:t>
      </w:r>
      <w:r w:rsidRPr="00FD781D">
        <w:rPr>
          <w:rFonts w:cs="Arial"/>
          <w:color w:val="auto"/>
          <w:lang w:eastAsia="en-US"/>
        </w:rPr>
        <w:t>C</w:t>
      </w:r>
      <w:r>
        <w:rPr>
          <w:rFonts w:cs="Arial"/>
          <w:color w:val="auto"/>
          <w:lang w:eastAsia="en-US"/>
        </w:rPr>
        <w:t>ommittee of the Bank of England</w:t>
      </w:r>
      <w:r w:rsidRPr="00FD781D">
        <w:rPr>
          <w:rFonts w:cs="Arial"/>
          <w:color w:val="auto"/>
          <w:lang w:eastAsia="en-US"/>
        </w:rPr>
        <w:t xml:space="preserve"> w</w:t>
      </w:r>
      <w:r>
        <w:rPr>
          <w:rFonts w:cs="Arial"/>
          <w:color w:val="auto"/>
          <w:lang w:eastAsia="en-US"/>
        </w:rPr>
        <w:t>ill</w:t>
      </w:r>
      <w:r w:rsidRPr="00FD781D">
        <w:rPr>
          <w:rFonts w:cs="Arial"/>
          <w:color w:val="auto"/>
          <w:lang w:eastAsia="en-US"/>
        </w:rPr>
        <w:t xml:space="preserve"> increase Bank Rate in February 2019 ahead of the deadline in March for </w:t>
      </w:r>
      <w:r>
        <w:rPr>
          <w:rFonts w:cs="Arial"/>
          <w:color w:val="auto"/>
          <w:lang w:eastAsia="en-US"/>
        </w:rPr>
        <w:t>the EU exit</w:t>
      </w:r>
      <w:r w:rsidRPr="00FD781D">
        <w:rPr>
          <w:rFonts w:cs="Arial"/>
          <w:color w:val="auto"/>
          <w:lang w:eastAsia="en-US"/>
        </w:rPr>
        <w:t xml:space="preserve">.  The next increase in Bank Rate is therefore </w:t>
      </w:r>
      <w:r>
        <w:rPr>
          <w:rFonts w:cs="Arial"/>
          <w:color w:val="auto"/>
          <w:lang w:eastAsia="en-US"/>
        </w:rPr>
        <w:t xml:space="preserve">being </w:t>
      </w:r>
      <w:r w:rsidRPr="00FD781D">
        <w:rPr>
          <w:rFonts w:cs="Arial"/>
          <w:color w:val="auto"/>
          <w:lang w:eastAsia="en-US"/>
        </w:rPr>
        <w:t xml:space="preserve">forecast </w:t>
      </w:r>
      <w:r>
        <w:rPr>
          <w:rFonts w:cs="Arial"/>
          <w:color w:val="auto"/>
          <w:lang w:eastAsia="en-US"/>
        </w:rPr>
        <w:t>for</w:t>
      </w:r>
      <w:r w:rsidRPr="00FD781D">
        <w:rPr>
          <w:rFonts w:cs="Arial"/>
          <w:color w:val="auto"/>
          <w:lang w:eastAsia="en-US"/>
        </w:rPr>
        <w:t xml:space="preserve"> May 2019</w:t>
      </w:r>
      <w:r>
        <w:rPr>
          <w:rFonts w:cs="Arial"/>
          <w:color w:val="auto"/>
          <w:lang w:eastAsia="en-US"/>
        </w:rPr>
        <w:t xml:space="preserve"> with possible further rises in </w:t>
      </w:r>
      <w:r w:rsidRPr="00FD781D">
        <w:rPr>
          <w:rFonts w:cs="Arial"/>
          <w:color w:val="auto"/>
          <w:lang w:eastAsia="en-US"/>
        </w:rPr>
        <w:t>February and November 2020, ending up at 2.0% in February 2022.</w:t>
      </w:r>
      <w:r>
        <w:rPr>
          <w:rFonts w:cs="Arial"/>
          <w:color w:val="auto"/>
          <w:lang w:eastAsia="en-US"/>
        </w:rPr>
        <w:t xml:space="preserve">  </w:t>
      </w:r>
      <w:r w:rsidRPr="00FD781D">
        <w:rPr>
          <w:rFonts w:cs="Arial"/>
          <w:color w:val="auto"/>
          <w:lang w:eastAsia="en-US"/>
        </w:rPr>
        <w:t xml:space="preserve">If there </w:t>
      </w:r>
      <w:r>
        <w:rPr>
          <w:rFonts w:cs="Arial"/>
          <w:color w:val="auto"/>
          <w:lang w:eastAsia="en-US"/>
        </w:rPr>
        <w:t xml:space="preserve">is </w:t>
      </w:r>
      <w:r w:rsidRPr="00FD781D">
        <w:rPr>
          <w:rFonts w:cs="Arial"/>
          <w:color w:val="auto"/>
          <w:lang w:eastAsia="en-US"/>
        </w:rPr>
        <w:t>a disorderly exit</w:t>
      </w:r>
      <w:r>
        <w:rPr>
          <w:rFonts w:cs="Arial"/>
          <w:color w:val="auto"/>
          <w:lang w:eastAsia="en-US"/>
        </w:rPr>
        <w:t xml:space="preserve"> from the EU</w:t>
      </w:r>
      <w:r w:rsidRPr="00FD781D">
        <w:rPr>
          <w:rFonts w:cs="Arial"/>
          <w:color w:val="auto"/>
          <w:lang w:eastAsia="en-US"/>
        </w:rPr>
        <w:t xml:space="preserve">, then it is possible that credit rating agencies could downgrade the sovereign rating for the UK from the current level of AA.  </w:t>
      </w:r>
      <w:r>
        <w:rPr>
          <w:rFonts w:cs="Arial"/>
          <w:color w:val="auto"/>
          <w:lang w:eastAsia="en-US"/>
        </w:rPr>
        <w:t xml:space="preserve">If this were the case then the likelihood would be that the UK would be rated as </w:t>
      </w:r>
      <w:r w:rsidRPr="00FD781D">
        <w:rPr>
          <w:rFonts w:cs="Arial"/>
          <w:color w:val="auto"/>
          <w:lang w:eastAsia="en-US"/>
        </w:rPr>
        <w:t>AA-</w:t>
      </w:r>
      <w:r>
        <w:rPr>
          <w:rFonts w:cs="Arial"/>
          <w:color w:val="auto"/>
          <w:lang w:eastAsia="en-US"/>
        </w:rPr>
        <w:t>, although it could go lower</w:t>
      </w:r>
      <w:r w:rsidRPr="00FD781D">
        <w:rPr>
          <w:rFonts w:cs="Arial"/>
          <w:color w:val="auto"/>
          <w:lang w:eastAsia="en-US"/>
        </w:rPr>
        <w:t>.</w:t>
      </w:r>
      <w:r>
        <w:rPr>
          <w:rFonts w:cs="Arial"/>
          <w:color w:val="auto"/>
          <w:lang w:eastAsia="en-US"/>
        </w:rPr>
        <w:t xml:space="preserve">  </w:t>
      </w:r>
      <w:r w:rsidR="001B3DC6">
        <w:rPr>
          <w:rFonts w:cs="Arial"/>
          <w:color w:val="auto"/>
          <w:lang w:eastAsia="en-US"/>
        </w:rPr>
        <w:t xml:space="preserve">If there is a disorderly exit then it is probable that interest rates will become volatile to react to impacts on the economy, whether that </w:t>
      </w:r>
      <w:proofErr w:type="gramStart"/>
      <w:r w:rsidR="001B3DC6">
        <w:rPr>
          <w:rFonts w:cs="Arial"/>
          <w:color w:val="auto"/>
          <w:lang w:eastAsia="en-US"/>
        </w:rPr>
        <w:t>be</w:t>
      </w:r>
      <w:proofErr w:type="gramEnd"/>
      <w:r w:rsidR="001B3DC6">
        <w:rPr>
          <w:rFonts w:cs="Arial"/>
          <w:color w:val="auto"/>
          <w:lang w:eastAsia="en-US"/>
        </w:rPr>
        <w:t xml:space="preserve"> higher to control inflation of lower to reduce the risk of recession.</w:t>
      </w:r>
    </w:p>
    <w:p w:rsidR="0017543A" w:rsidRDefault="0017543A">
      <w:pPr>
        <w:spacing w:after="0"/>
        <w:rPr>
          <w:b/>
        </w:rPr>
      </w:pPr>
      <w:r>
        <w:br w:type="page"/>
      </w:r>
    </w:p>
    <w:p w:rsidR="00D71D8D" w:rsidRPr="004A3128" w:rsidRDefault="00D71D8D" w:rsidP="004A3128">
      <w:pPr>
        <w:pStyle w:val="Heading1"/>
      </w:pPr>
      <w:r w:rsidRPr="004A3128">
        <w:lastRenderedPageBreak/>
        <w:t>Treasury Management Strategy</w:t>
      </w:r>
      <w:r w:rsidR="00BA014E">
        <w:t xml:space="preserve"> Statement</w:t>
      </w:r>
    </w:p>
    <w:p w:rsidR="00BA014E" w:rsidRPr="004A3128" w:rsidRDefault="00BA014E" w:rsidP="00BA014E">
      <w:pPr>
        <w:pStyle w:val="Heading1"/>
      </w:pPr>
      <w:r>
        <w:t>Background</w:t>
      </w: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Council’s low risk appetite, providing adequate liquidity initially before considering investment return.</w:t>
      </w:r>
    </w:p>
    <w:p w:rsidR="00BA014E" w:rsidRDefault="00BA014E" w:rsidP="00BA014E">
      <w:pPr>
        <w:spacing w:after="0"/>
        <w:ind w:left="360"/>
        <w:contextualSpacing/>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w:t>
      </w:r>
    </w:p>
    <w:p w:rsidR="00BA014E" w:rsidRDefault="00BA014E" w:rsidP="00BA014E">
      <w:pPr>
        <w:pStyle w:val="ListParagraph"/>
        <w:numPr>
          <w:ilvl w:val="0"/>
          <w:numId w:val="0"/>
        </w:numPr>
        <w:spacing w:after="0"/>
        <w:ind w:left="425"/>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rsidR="00BA014E" w:rsidRDefault="00BA014E" w:rsidP="00BA014E">
      <w:pPr>
        <w:pStyle w:val="ListParagraph"/>
        <w:numPr>
          <w:ilvl w:val="0"/>
          <w:numId w:val="0"/>
        </w:numPr>
        <w:ind w:left="426"/>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Whilst any commercial initiatives or loans to third parties will impact on the treasury function, these activities are generally classed as non-treasury activities, arising usually from capital expenditure,</w:t>
      </w:r>
      <w:r>
        <w:rPr>
          <w:rFonts w:cs="Arial"/>
          <w:color w:val="auto"/>
          <w:lang w:eastAsia="en-US"/>
        </w:rPr>
        <w:t xml:space="preserve"> </w:t>
      </w:r>
      <w:r w:rsidRPr="00BA014E">
        <w:rPr>
          <w:rFonts w:cs="Arial"/>
          <w:color w:val="auto"/>
          <w:lang w:eastAsia="en-US"/>
        </w:rPr>
        <w:t>and are separate from the day to day treasury management activities.</w:t>
      </w:r>
    </w:p>
    <w:p w:rsidR="00BA014E" w:rsidRDefault="00BA014E" w:rsidP="00BA014E">
      <w:pPr>
        <w:pStyle w:val="ListParagraph"/>
        <w:numPr>
          <w:ilvl w:val="0"/>
          <w:numId w:val="0"/>
        </w:numPr>
        <w:ind w:left="426"/>
        <w:rPr>
          <w:rFonts w:cs="Arial"/>
          <w:color w:val="auto"/>
          <w:lang w:eastAsia="en-US"/>
        </w:rPr>
      </w:pPr>
    </w:p>
    <w:p w:rsidR="00BA014E" w:rsidRP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CIPFA defines treasury management as:</w:t>
      </w:r>
    </w:p>
    <w:p w:rsidR="00BA014E" w:rsidRPr="00BA014E" w:rsidRDefault="00BA014E" w:rsidP="00BA014E">
      <w:pPr>
        <w:spacing w:after="0"/>
        <w:ind w:left="360"/>
        <w:contextualSpacing/>
        <w:rPr>
          <w:rFonts w:cs="Arial"/>
          <w:i/>
          <w:color w:val="auto"/>
          <w:lang w:eastAsia="en-US"/>
        </w:rPr>
      </w:pPr>
      <w:r w:rsidRPr="00BA014E">
        <w:rPr>
          <w:rFonts w:cs="Arial"/>
          <w:i/>
          <w:color w:val="auto"/>
          <w:lang w:eastAsia="en-US"/>
        </w:rPr>
        <w:t xml:space="preserve"> “The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rsidR="00BA014E" w:rsidRDefault="00BA014E" w:rsidP="00BA014E">
      <w:pPr>
        <w:pStyle w:val="ListParagraph"/>
        <w:numPr>
          <w:ilvl w:val="0"/>
          <w:numId w:val="0"/>
        </w:numPr>
        <w:ind w:left="426"/>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 xml:space="preserve">Revised reporting is required for the 2019/20 reporting cycle due to revisions of the MHCLG Investment Guidance, the MHCLG Minimum Revenue Provision (MRP) Guidance, the CIPFA Prudential Code and the CIPFA Treasury Management Code.  </w:t>
      </w:r>
      <w:r w:rsidR="00C95BBF">
        <w:rPr>
          <w:rFonts w:cs="Arial"/>
          <w:color w:val="auto"/>
          <w:lang w:eastAsia="en-US"/>
        </w:rPr>
        <w:t>The</w:t>
      </w:r>
      <w:r w:rsidRPr="00BA014E">
        <w:rPr>
          <w:rFonts w:cs="Arial"/>
          <w:color w:val="auto"/>
          <w:lang w:eastAsia="en-US"/>
        </w:rPr>
        <w:t xml:space="preserve"> reporting changes include the introduction of </w:t>
      </w:r>
      <w:r>
        <w:rPr>
          <w:rFonts w:cs="Arial"/>
          <w:color w:val="auto"/>
          <w:lang w:eastAsia="en-US"/>
        </w:rPr>
        <w:t xml:space="preserve">the requirement to approve </w:t>
      </w:r>
      <w:r w:rsidRPr="00BA014E">
        <w:rPr>
          <w:rFonts w:cs="Arial"/>
          <w:color w:val="auto"/>
          <w:lang w:eastAsia="en-US"/>
        </w:rPr>
        <w:t>a capital strategy</w:t>
      </w:r>
      <w:r>
        <w:rPr>
          <w:rFonts w:cs="Arial"/>
          <w:color w:val="auto"/>
          <w:lang w:eastAsia="en-US"/>
        </w:rPr>
        <w:t xml:space="preserve"> (which the Council produced </w:t>
      </w:r>
      <w:r w:rsidR="00C95BBF">
        <w:rPr>
          <w:rFonts w:cs="Arial"/>
          <w:color w:val="auto"/>
          <w:lang w:eastAsia="en-US"/>
        </w:rPr>
        <w:t xml:space="preserve">in a slightly different form </w:t>
      </w:r>
      <w:r>
        <w:rPr>
          <w:rFonts w:cs="Arial"/>
          <w:color w:val="auto"/>
          <w:lang w:eastAsia="en-US"/>
        </w:rPr>
        <w:t>previously)</w:t>
      </w:r>
      <w:r w:rsidRPr="00BA014E">
        <w:rPr>
          <w:rFonts w:cs="Arial"/>
          <w:color w:val="auto"/>
          <w:lang w:eastAsia="en-US"/>
        </w:rPr>
        <w:t>, to provide a longer-term focus to the capital plans, and greater reporting requirements surrounding any commercial activity undertaken under the Localism Act 2011.  The capital strategy is being reported separately</w:t>
      </w:r>
      <w:r>
        <w:rPr>
          <w:rFonts w:cs="Arial"/>
          <w:color w:val="auto"/>
          <w:lang w:eastAsia="en-US"/>
        </w:rPr>
        <w:t xml:space="preserve"> and includes the additional requirements introduced with these changes</w:t>
      </w:r>
      <w:r w:rsidRPr="00BA014E">
        <w:rPr>
          <w:rFonts w:cs="Arial"/>
          <w:color w:val="auto"/>
          <w:lang w:eastAsia="en-US"/>
        </w:rPr>
        <w:t>.</w:t>
      </w:r>
    </w:p>
    <w:p w:rsidR="00BA014E" w:rsidRDefault="00BA014E" w:rsidP="00BA014E">
      <w:pPr>
        <w:spacing w:after="0"/>
        <w:ind w:left="360"/>
        <w:contextualSpacing/>
        <w:rPr>
          <w:rFonts w:cs="Arial"/>
          <w:color w:val="auto"/>
          <w:lang w:eastAsia="en-US"/>
        </w:rPr>
      </w:pPr>
    </w:p>
    <w:p w:rsidR="004A3128" w:rsidRPr="004A3128" w:rsidRDefault="004A3128" w:rsidP="004A3128">
      <w:pPr>
        <w:pStyle w:val="Heading1"/>
      </w:pPr>
      <w:r w:rsidRPr="004A3128">
        <w:lastRenderedPageBreak/>
        <w:t xml:space="preserve">Treasury </w:t>
      </w:r>
      <w:r w:rsidR="00C95BBF">
        <w:t xml:space="preserve">Management </w:t>
      </w:r>
      <w:r w:rsidRPr="004A3128">
        <w:t>Advisor</w:t>
      </w:r>
      <w:r w:rsidR="004F1AB7">
        <w:t>s</w:t>
      </w:r>
    </w:p>
    <w:p w:rsidR="004A3128" w:rsidRDefault="004A3128" w:rsidP="0020712A">
      <w:pPr>
        <w:numPr>
          <w:ilvl w:val="0"/>
          <w:numId w:val="6"/>
        </w:numPr>
        <w:spacing w:after="0"/>
        <w:contextualSpacing/>
        <w:rPr>
          <w:rFonts w:cs="Arial"/>
          <w:color w:val="auto"/>
          <w:lang w:eastAsia="en-US"/>
        </w:rPr>
      </w:pPr>
      <w:r w:rsidRPr="004A3128">
        <w:rPr>
          <w:rFonts w:cs="Arial"/>
          <w:color w:val="auto"/>
          <w:lang w:eastAsia="en-US"/>
        </w:rPr>
        <w:t>Treasury advice and market information is provided by Link Asset Services</w:t>
      </w:r>
      <w:r w:rsidR="001E2D58">
        <w:rPr>
          <w:rFonts w:cs="Arial"/>
          <w:color w:val="auto"/>
          <w:lang w:eastAsia="en-US"/>
        </w:rPr>
        <w:t>, formerly known as Capita Asset Services.</w:t>
      </w:r>
      <w:r w:rsidR="009E7959">
        <w:rPr>
          <w:rFonts w:cs="Arial"/>
          <w:color w:val="auto"/>
          <w:lang w:eastAsia="en-US"/>
        </w:rPr>
        <w:t xml:space="preserve"> </w:t>
      </w:r>
      <w:r w:rsidR="00567903">
        <w:rPr>
          <w:rFonts w:cs="Arial"/>
          <w:color w:val="auto"/>
          <w:lang w:eastAsia="en-US"/>
        </w:rPr>
        <w:t xml:space="preserve"> A procurement exercise was undertaken during 2018 and t</w:t>
      </w:r>
      <w:r w:rsidR="009E7959">
        <w:rPr>
          <w:rFonts w:cs="Arial"/>
          <w:color w:val="auto"/>
          <w:lang w:eastAsia="en-US"/>
        </w:rPr>
        <w:t xml:space="preserve">he contract was </w:t>
      </w:r>
      <w:r w:rsidR="00567903">
        <w:rPr>
          <w:rFonts w:cs="Arial"/>
          <w:color w:val="auto"/>
          <w:lang w:eastAsia="en-US"/>
        </w:rPr>
        <w:t xml:space="preserve">awarded to Link Asset Services in September 2018 </w:t>
      </w:r>
      <w:r w:rsidR="009E7959">
        <w:rPr>
          <w:rFonts w:cs="Arial"/>
          <w:color w:val="auto"/>
          <w:lang w:eastAsia="en-US"/>
        </w:rPr>
        <w:t>for 3 years</w:t>
      </w:r>
      <w:r w:rsidR="00567903">
        <w:rPr>
          <w:rFonts w:cs="Arial"/>
          <w:color w:val="auto"/>
          <w:lang w:eastAsia="en-US"/>
        </w:rPr>
        <w:t xml:space="preserve"> with an option to extend for a further 2 years.</w:t>
      </w:r>
      <w:r w:rsidR="009E7959">
        <w:rPr>
          <w:rFonts w:cs="Arial"/>
          <w:color w:val="auto"/>
          <w:lang w:eastAsia="en-US"/>
        </w:rPr>
        <w:t xml:space="preserve"> </w:t>
      </w:r>
      <w:r w:rsidRPr="004A3128">
        <w:rPr>
          <w:rFonts w:cs="Arial"/>
          <w:color w:val="auto"/>
          <w:lang w:eastAsia="en-US"/>
        </w:rPr>
        <w:t xml:space="preserve">The information provided by Link Asset Services that is used for making investment decisions is outlined further on in this </w:t>
      </w:r>
      <w:r>
        <w:rPr>
          <w:rFonts w:cs="Arial"/>
          <w:color w:val="auto"/>
          <w:lang w:eastAsia="en-US"/>
        </w:rPr>
        <w:t xml:space="preserve">report and </w:t>
      </w:r>
      <w:r w:rsidR="00275A32">
        <w:rPr>
          <w:rFonts w:cs="Arial"/>
          <w:color w:val="auto"/>
          <w:lang w:eastAsia="en-US"/>
        </w:rPr>
        <w:t xml:space="preserve">in </w:t>
      </w:r>
      <w:r>
        <w:rPr>
          <w:rFonts w:cs="Arial"/>
          <w:color w:val="auto"/>
          <w:lang w:eastAsia="en-US"/>
        </w:rPr>
        <w:t>associated appendices</w:t>
      </w:r>
      <w:r w:rsidRPr="004A3128">
        <w:rPr>
          <w:rFonts w:cs="Arial"/>
          <w:color w:val="auto"/>
          <w:lang w:eastAsia="en-US"/>
        </w:rPr>
        <w:t>.</w:t>
      </w:r>
    </w:p>
    <w:p w:rsidR="00C95BBF" w:rsidRDefault="00C95BBF" w:rsidP="00C95BBF">
      <w:pPr>
        <w:spacing w:after="0"/>
        <w:ind w:left="360"/>
        <w:contextualSpacing/>
        <w:rPr>
          <w:rFonts w:cs="Arial"/>
          <w:color w:val="auto"/>
          <w:lang w:eastAsia="en-US"/>
        </w:rPr>
      </w:pPr>
    </w:p>
    <w:p w:rsidR="00C95BBF" w:rsidRPr="004A3128" w:rsidRDefault="00C95BBF" w:rsidP="0020712A">
      <w:pPr>
        <w:numPr>
          <w:ilvl w:val="0"/>
          <w:numId w:val="6"/>
        </w:numPr>
        <w:spacing w:after="0"/>
        <w:contextualSpacing/>
        <w:rPr>
          <w:rFonts w:cs="Arial"/>
          <w:color w:val="auto"/>
          <w:lang w:eastAsia="en-US"/>
        </w:rPr>
      </w:pPr>
      <w:r w:rsidRPr="00C95BBF">
        <w:rPr>
          <w:rFonts w:cs="Arial"/>
          <w:color w:val="auto"/>
          <w:lang w:eastAsia="en-US"/>
        </w:rPr>
        <w:t>The Council recognises that responsibility for treasury management decisions remains with the organisation at all times and will ensure that undue reliance is not placed upon the services of our external service providers. All decisions will be undertaken with regards to all available information, including, but not solely, our treasury advisers.</w:t>
      </w:r>
    </w:p>
    <w:p w:rsidR="00D71D8D" w:rsidRPr="004A3128" w:rsidRDefault="00A60D19" w:rsidP="004A3128">
      <w:pPr>
        <w:pStyle w:val="Heading1"/>
      </w:pPr>
      <w:r>
        <w:t>Borrowing and Debt</w:t>
      </w: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arrangements also facilitate ‘invest to save’ schemes where they are affordable, prudent and sustainable.</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parameters for determining the level of prudential borrowing are:</w:t>
      </w:r>
    </w:p>
    <w:p w:rsidR="00D71D8D" w:rsidRPr="00D71D8D" w:rsidRDefault="00D71D8D" w:rsidP="0020712A">
      <w:pPr>
        <w:numPr>
          <w:ilvl w:val="0"/>
          <w:numId w:val="7"/>
        </w:numPr>
        <w:spacing w:after="0"/>
        <w:contextualSpacing/>
        <w:rPr>
          <w:rFonts w:cs="Arial"/>
          <w:color w:val="auto"/>
          <w:lang w:eastAsia="en-US"/>
        </w:rPr>
      </w:pPr>
      <w:r w:rsidRPr="00D71D8D">
        <w:rPr>
          <w:rFonts w:cs="Arial"/>
          <w:color w:val="auto"/>
          <w:lang w:eastAsia="en-US"/>
        </w:rPr>
        <w:t>A balanced revenue budget that includes the revenue consequences of any capital financing i.e. interest, debt repayment and  running costs of any new project;</w:t>
      </w:r>
      <w:r w:rsidR="001250F2">
        <w:rPr>
          <w:rFonts w:cs="Arial"/>
          <w:color w:val="auto"/>
          <w:lang w:eastAsia="en-US"/>
        </w:rPr>
        <w:t xml:space="preserve"> and </w:t>
      </w:r>
    </w:p>
    <w:p w:rsidR="00D71D8D" w:rsidRPr="00D71D8D" w:rsidRDefault="00D71D8D" w:rsidP="0020712A">
      <w:pPr>
        <w:numPr>
          <w:ilvl w:val="0"/>
          <w:numId w:val="7"/>
        </w:numPr>
        <w:spacing w:after="0"/>
        <w:contextualSpacing/>
        <w:rPr>
          <w:rFonts w:cs="Arial"/>
          <w:color w:val="auto"/>
          <w:lang w:eastAsia="en-US"/>
        </w:rPr>
      </w:pPr>
      <w:r w:rsidRPr="00D71D8D">
        <w:rPr>
          <w:rFonts w:cs="Arial"/>
          <w:color w:val="auto"/>
          <w:lang w:eastAsia="en-US"/>
        </w:rPr>
        <w:t>That the impact of the Authorised Borrowing Limit on Council Tax or council rents is reasonable.</w:t>
      </w:r>
    </w:p>
    <w:p w:rsidR="00D71D8D" w:rsidRPr="00D71D8D" w:rsidRDefault="00D71D8D" w:rsidP="00D71D8D">
      <w:pPr>
        <w:spacing w:after="0"/>
        <w:rPr>
          <w:rFonts w:cs="Arial"/>
          <w:color w:val="auto"/>
          <w:lang w:eastAsia="en-US"/>
        </w:rPr>
      </w:pPr>
    </w:p>
    <w:p w:rsidR="00D71D8D" w:rsidRPr="008F36C4" w:rsidRDefault="00D71D8D" w:rsidP="0020712A">
      <w:pPr>
        <w:numPr>
          <w:ilvl w:val="0"/>
          <w:numId w:val="6"/>
        </w:numPr>
        <w:spacing w:after="0"/>
        <w:contextualSpacing/>
        <w:rPr>
          <w:rFonts w:cs="Arial"/>
          <w:color w:val="auto"/>
          <w:lang w:eastAsia="en-US"/>
        </w:rPr>
      </w:pPr>
      <w:r w:rsidRPr="00AA77C5">
        <w:rPr>
          <w:rFonts w:cs="Arial"/>
          <w:color w:val="auto"/>
          <w:lang w:eastAsia="en-US"/>
        </w:rPr>
        <w:t>The draft Capital Programme</w:t>
      </w:r>
      <w:r w:rsidR="0051623E">
        <w:rPr>
          <w:rFonts w:cs="Arial"/>
          <w:color w:val="auto"/>
          <w:lang w:eastAsia="en-US"/>
        </w:rPr>
        <w:t xml:space="preserve"> for 201</w:t>
      </w:r>
      <w:r w:rsidR="004F1AB7">
        <w:rPr>
          <w:rFonts w:cs="Arial"/>
          <w:color w:val="auto"/>
          <w:lang w:eastAsia="en-US"/>
        </w:rPr>
        <w:t>9</w:t>
      </w:r>
      <w:r w:rsidR="0051623E">
        <w:rPr>
          <w:rFonts w:cs="Arial"/>
          <w:color w:val="auto"/>
          <w:lang w:eastAsia="en-US"/>
        </w:rPr>
        <w:t>/</w:t>
      </w:r>
      <w:r w:rsidR="004F1AB7" w:rsidRPr="008F36C4">
        <w:rPr>
          <w:rFonts w:cs="Arial"/>
          <w:color w:val="auto"/>
          <w:lang w:eastAsia="en-US"/>
        </w:rPr>
        <w:t xml:space="preserve">20 </w:t>
      </w:r>
      <w:r w:rsidR="0051623E" w:rsidRPr="008F36C4">
        <w:rPr>
          <w:rFonts w:cs="Arial"/>
          <w:color w:val="auto"/>
          <w:lang w:eastAsia="en-US"/>
        </w:rPr>
        <w:t>to 202</w:t>
      </w:r>
      <w:r w:rsidR="008F36C4" w:rsidRPr="008F36C4">
        <w:rPr>
          <w:rFonts w:cs="Arial"/>
          <w:color w:val="auto"/>
          <w:lang w:eastAsia="en-US"/>
        </w:rPr>
        <w:t>3</w:t>
      </w:r>
      <w:r w:rsidR="0051623E" w:rsidRPr="008F36C4">
        <w:rPr>
          <w:rFonts w:cs="Arial"/>
          <w:color w:val="auto"/>
          <w:lang w:eastAsia="en-US"/>
        </w:rPr>
        <w:t>/2</w:t>
      </w:r>
      <w:r w:rsidR="008F36C4" w:rsidRPr="008F36C4">
        <w:rPr>
          <w:rFonts w:cs="Arial"/>
          <w:color w:val="auto"/>
          <w:lang w:eastAsia="en-US"/>
        </w:rPr>
        <w:t>4</w:t>
      </w:r>
      <w:r w:rsidRPr="008F36C4">
        <w:rPr>
          <w:rFonts w:cs="Arial"/>
          <w:color w:val="auto"/>
          <w:lang w:eastAsia="en-US"/>
        </w:rPr>
        <w:t>, which appears elsewhere on the Agenda; includes the following expenditure which is currently planned to be financed by borrowing:</w:t>
      </w:r>
    </w:p>
    <w:p w:rsidR="00D71D8D" w:rsidRPr="008F36C4" w:rsidRDefault="00D71D8D" w:rsidP="0020712A">
      <w:pPr>
        <w:numPr>
          <w:ilvl w:val="0"/>
          <w:numId w:val="12"/>
        </w:numPr>
        <w:spacing w:after="0"/>
        <w:ind w:left="720"/>
        <w:contextualSpacing/>
        <w:rPr>
          <w:rFonts w:cs="Arial"/>
          <w:color w:val="auto"/>
          <w:lang w:eastAsia="en-US"/>
        </w:rPr>
      </w:pPr>
      <w:r w:rsidRPr="008F36C4">
        <w:rPr>
          <w:rFonts w:cs="Arial"/>
          <w:color w:val="auto"/>
          <w:lang w:eastAsia="en-US"/>
        </w:rPr>
        <w:t>£</w:t>
      </w:r>
      <w:r w:rsidR="008F36C4" w:rsidRPr="008F36C4">
        <w:rPr>
          <w:rFonts w:cs="Arial"/>
          <w:color w:val="auto"/>
          <w:lang w:eastAsia="en-US"/>
        </w:rPr>
        <w:t>47.9</w:t>
      </w:r>
      <w:r w:rsidR="0051623E" w:rsidRPr="008F36C4">
        <w:rPr>
          <w:rFonts w:cs="Arial"/>
          <w:color w:val="auto"/>
          <w:lang w:eastAsia="en-US"/>
        </w:rPr>
        <w:t xml:space="preserve"> </w:t>
      </w:r>
      <w:r w:rsidRPr="008F36C4">
        <w:rPr>
          <w:rFonts w:cs="Arial"/>
          <w:color w:val="auto"/>
          <w:lang w:eastAsia="en-US"/>
        </w:rPr>
        <w:t>million loan</w:t>
      </w:r>
      <w:r w:rsidR="00AA77C5" w:rsidRPr="008F36C4">
        <w:rPr>
          <w:rFonts w:cs="Arial"/>
          <w:color w:val="auto"/>
          <w:lang w:eastAsia="en-US"/>
        </w:rPr>
        <w:t>s</w:t>
      </w:r>
      <w:r w:rsidRPr="008F36C4">
        <w:rPr>
          <w:rFonts w:cs="Arial"/>
          <w:color w:val="auto"/>
          <w:lang w:eastAsia="en-US"/>
        </w:rPr>
        <w:t xml:space="preserve"> to the Housing Company, primarily to finance the purchase of </w:t>
      </w:r>
      <w:r w:rsidR="00413FD8" w:rsidRPr="008F36C4">
        <w:rPr>
          <w:rFonts w:cs="Arial"/>
          <w:color w:val="auto"/>
          <w:lang w:eastAsia="en-US"/>
        </w:rPr>
        <w:t xml:space="preserve">New Build </w:t>
      </w:r>
      <w:r w:rsidRPr="008F36C4">
        <w:rPr>
          <w:rFonts w:cs="Arial"/>
          <w:color w:val="auto"/>
          <w:lang w:eastAsia="en-US"/>
        </w:rPr>
        <w:t xml:space="preserve">homes </w:t>
      </w:r>
      <w:r w:rsidR="00413FD8" w:rsidRPr="008F36C4">
        <w:rPr>
          <w:rFonts w:cs="Arial"/>
          <w:color w:val="auto"/>
          <w:lang w:eastAsia="en-US"/>
        </w:rPr>
        <w:t xml:space="preserve">for Affordable Housing at </w:t>
      </w:r>
      <w:r w:rsidRPr="008F36C4">
        <w:rPr>
          <w:rFonts w:cs="Arial"/>
          <w:color w:val="auto"/>
          <w:lang w:eastAsia="en-US"/>
        </w:rPr>
        <w:t xml:space="preserve">Barton and </w:t>
      </w:r>
      <w:r w:rsidR="00413FD8" w:rsidRPr="008F36C4">
        <w:rPr>
          <w:rFonts w:cs="Arial"/>
          <w:color w:val="auto"/>
          <w:lang w:eastAsia="en-US"/>
        </w:rPr>
        <w:t xml:space="preserve">other </w:t>
      </w:r>
      <w:r w:rsidRPr="008F36C4">
        <w:rPr>
          <w:rFonts w:cs="Arial"/>
          <w:color w:val="auto"/>
          <w:lang w:eastAsia="en-US"/>
        </w:rPr>
        <w:t>housing;</w:t>
      </w:r>
    </w:p>
    <w:p w:rsidR="00D71D8D" w:rsidRPr="008F36C4" w:rsidRDefault="00D71D8D" w:rsidP="0020712A">
      <w:pPr>
        <w:numPr>
          <w:ilvl w:val="0"/>
          <w:numId w:val="12"/>
        </w:numPr>
        <w:spacing w:after="0"/>
        <w:ind w:left="720"/>
        <w:contextualSpacing/>
        <w:rPr>
          <w:rFonts w:cs="Arial"/>
          <w:color w:val="auto"/>
          <w:lang w:eastAsia="en-US"/>
        </w:rPr>
      </w:pPr>
      <w:r w:rsidRPr="008F36C4">
        <w:rPr>
          <w:rFonts w:cs="Arial"/>
          <w:color w:val="auto"/>
          <w:lang w:eastAsia="en-US"/>
        </w:rPr>
        <w:t>£</w:t>
      </w:r>
      <w:r w:rsidR="008F36C4" w:rsidRPr="008F36C4">
        <w:rPr>
          <w:rFonts w:cs="Arial"/>
          <w:color w:val="auto"/>
          <w:lang w:eastAsia="en-US"/>
        </w:rPr>
        <w:t>9.6</w:t>
      </w:r>
      <w:r w:rsidRPr="008F36C4">
        <w:rPr>
          <w:rFonts w:cs="Arial"/>
          <w:color w:val="auto"/>
          <w:lang w:eastAsia="en-US"/>
        </w:rPr>
        <w:t xml:space="preserve"> million for the acquisition </w:t>
      </w:r>
      <w:r w:rsidR="00AA77C5" w:rsidRPr="008F36C4">
        <w:rPr>
          <w:rFonts w:cs="Arial"/>
          <w:color w:val="auto"/>
          <w:lang w:eastAsia="en-US"/>
        </w:rPr>
        <w:t xml:space="preserve">or refurbishment </w:t>
      </w:r>
      <w:r w:rsidRPr="008F36C4">
        <w:rPr>
          <w:rFonts w:cs="Arial"/>
          <w:color w:val="auto"/>
          <w:lang w:eastAsia="en-US"/>
        </w:rPr>
        <w:t>of Investment Properties</w:t>
      </w:r>
      <w:r w:rsidRPr="008F36C4">
        <w:rPr>
          <w:color w:val="auto"/>
          <w:lang w:eastAsia="en-US"/>
        </w:rPr>
        <w:t xml:space="preserve"> </w:t>
      </w:r>
      <w:r w:rsidRPr="008F36C4">
        <w:rPr>
          <w:rFonts w:cs="Arial"/>
          <w:color w:val="auto"/>
          <w:lang w:eastAsia="en-US"/>
        </w:rPr>
        <w:t>that will generate additional  revenue income; and</w:t>
      </w:r>
    </w:p>
    <w:p w:rsidR="00D71D8D" w:rsidRPr="008F36C4" w:rsidRDefault="00D71D8D" w:rsidP="0020712A">
      <w:pPr>
        <w:numPr>
          <w:ilvl w:val="0"/>
          <w:numId w:val="12"/>
        </w:numPr>
        <w:spacing w:after="0"/>
        <w:ind w:left="720"/>
        <w:contextualSpacing/>
        <w:rPr>
          <w:rFonts w:cs="Arial"/>
          <w:color w:val="auto"/>
          <w:lang w:eastAsia="en-US"/>
        </w:rPr>
      </w:pPr>
      <w:r w:rsidRPr="008F36C4">
        <w:rPr>
          <w:rFonts w:cs="Arial"/>
          <w:color w:val="auto"/>
          <w:lang w:eastAsia="en-US"/>
        </w:rPr>
        <w:t>£</w:t>
      </w:r>
      <w:r w:rsidR="00AA77C5" w:rsidRPr="008F36C4">
        <w:rPr>
          <w:rFonts w:cs="Arial"/>
          <w:color w:val="auto"/>
          <w:lang w:eastAsia="en-US"/>
        </w:rPr>
        <w:t>2</w:t>
      </w:r>
      <w:r w:rsidR="008F36C4">
        <w:rPr>
          <w:rFonts w:cs="Arial"/>
          <w:color w:val="auto"/>
          <w:lang w:eastAsia="en-US"/>
        </w:rPr>
        <w:t>6.2</w:t>
      </w:r>
      <w:r w:rsidRPr="008F36C4">
        <w:rPr>
          <w:rFonts w:cs="Arial"/>
          <w:color w:val="auto"/>
          <w:lang w:eastAsia="en-US"/>
        </w:rPr>
        <w:t xml:space="preserve"> million </w:t>
      </w:r>
      <w:r w:rsidR="00AA77C5" w:rsidRPr="008F36C4">
        <w:rPr>
          <w:rFonts w:cs="Arial"/>
          <w:color w:val="auto"/>
          <w:lang w:eastAsia="en-US"/>
        </w:rPr>
        <w:t>to finance HRA capital expenditure.</w:t>
      </w:r>
    </w:p>
    <w:p w:rsidR="00D71D8D" w:rsidRPr="00D71D8D" w:rsidRDefault="00D71D8D" w:rsidP="00A60D19">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S151 officer has delegated authority to determine the need for external borrowing taking into account prevailing interest rates and associated risks.  </w:t>
      </w:r>
      <w:r w:rsidR="005A5DF8" w:rsidRPr="005A5DF8">
        <w:rPr>
          <w:rFonts w:cs="Arial"/>
          <w:color w:val="auto"/>
          <w:lang w:eastAsia="en-US"/>
        </w:rPr>
        <w:t>Borrowing may be undertaken to fund the approved Capital Programme or to fund future debt maturities</w:t>
      </w:r>
      <w:r w:rsidR="005A5DF8">
        <w:rPr>
          <w:rFonts w:cs="Arial"/>
          <w:color w:val="auto"/>
          <w:lang w:eastAsia="en-US"/>
        </w:rPr>
        <w:t xml:space="preserve"> and a</w:t>
      </w:r>
      <w:r w:rsidRPr="00D71D8D">
        <w:rPr>
          <w:rFonts w:cs="Arial"/>
          <w:color w:val="auto"/>
          <w:lang w:eastAsia="en-US"/>
        </w:rPr>
        <w:t xml:space="preserve"> combination of long-term and short-term fixed and variable rate borrowing may be considered</w:t>
      </w:r>
      <w:r w:rsidR="005A5DF8">
        <w:rPr>
          <w:rFonts w:cs="Arial"/>
          <w:color w:val="auto"/>
          <w:lang w:eastAsia="en-US"/>
        </w:rPr>
        <w:t xml:space="preserve"> which</w:t>
      </w:r>
      <w:r w:rsidRPr="00D71D8D">
        <w:rPr>
          <w:rFonts w:cs="Arial"/>
          <w:color w:val="auto"/>
          <w:lang w:eastAsia="en-US"/>
        </w:rPr>
        <w:t xml:space="preserve"> may include borrowing in advance of future years’ requirements.</w:t>
      </w:r>
      <w:r w:rsidR="005A5DF8">
        <w:rPr>
          <w:rFonts w:cs="Arial"/>
          <w:color w:val="auto"/>
          <w:lang w:eastAsia="en-US"/>
        </w:rPr>
        <w:t xml:space="preserve">  In using the delegated authority, t</w:t>
      </w:r>
      <w:r w:rsidRPr="00D71D8D">
        <w:rPr>
          <w:rFonts w:cs="Arial"/>
          <w:color w:val="auto"/>
          <w:lang w:eastAsia="en-US"/>
        </w:rPr>
        <w:t>he S151 Officer will take into account the following factors:</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on-going revenue liabilities created, and the implications for the future plans and budgets;</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economic and market factors that might influence the manner and timing of any decision to borrow;</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lastRenderedPageBreak/>
        <w:t>The pros and cons of alternative forms of funding including internal borrowing;</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impact of borrowing in advance on cash balances and the consequent increase in counterparty risk.</w:t>
      </w:r>
    </w:p>
    <w:p w:rsidR="00D71D8D" w:rsidRPr="00D71D8D" w:rsidRDefault="00D71D8D" w:rsidP="00D71D8D">
      <w:pPr>
        <w:spacing w:after="0"/>
        <w:ind w:left="1134"/>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Council officers, in conjunction with </w:t>
      </w:r>
      <w:r w:rsidR="004A3128">
        <w:rPr>
          <w:rFonts w:cs="Arial"/>
          <w:color w:val="auto"/>
          <w:lang w:eastAsia="en-US"/>
        </w:rPr>
        <w:t>the Council’s</w:t>
      </w:r>
      <w:r w:rsidRPr="00D71D8D">
        <w:rPr>
          <w:rFonts w:cs="Arial"/>
          <w:color w:val="auto"/>
          <w:lang w:eastAsia="en-US"/>
        </w:rPr>
        <w:t xml:space="preserve"> treasury advisors, </w:t>
      </w:r>
      <w:r w:rsidR="00E74E79">
        <w:rPr>
          <w:rFonts w:cs="Arial"/>
          <w:color w:val="auto"/>
          <w:lang w:eastAsia="en-US"/>
        </w:rPr>
        <w:t xml:space="preserve">Link </w:t>
      </w:r>
      <w:r w:rsidRPr="00D71D8D">
        <w:rPr>
          <w:rFonts w:cs="Arial"/>
          <w:color w:val="auto"/>
          <w:lang w:eastAsia="en-US"/>
        </w:rPr>
        <w:t>Asset Services</w:t>
      </w:r>
      <w:r w:rsidR="002B0E44">
        <w:rPr>
          <w:rFonts w:cs="Arial"/>
          <w:color w:val="auto"/>
          <w:lang w:eastAsia="en-US"/>
        </w:rPr>
        <w:t>,</w:t>
      </w:r>
      <w:r w:rsidR="00E74E79">
        <w:rPr>
          <w:rFonts w:cs="Arial"/>
          <w:color w:val="auto"/>
          <w:lang w:eastAsia="en-US"/>
        </w:rPr>
        <w:t xml:space="preserve"> </w:t>
      </w:r>
      <w:r w:rsidRPr="00D71D8D">
        <w:rPr>
          <w:rFonts w:cs="Arial"/>
          <w:color w:val="auto"/>
          <w:lang w:eastAsia="en-US"/>
        </w:rPr>
        <w:t>monitor prevailing interest rates and market forecasts, thereby allowing the Council to respond to any changes that may impact on the timing and manner of borrowing decisions, to ensure these are optimised.</w:t>
      </w:r>
    </w:p>
    <w:p w:rsidR="00D71D8D" w:rsidRPr="00D71D8D" w:rsidRDefault="00D71D8D" w:rsidP="00D71D8D">
      <w:pPr>
        <w:spacing w:after="0"/>
        <w:ind w:left="1134"/>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Council currently has £198.5m of external debt held at fixed rates with varying maturity terms up to 2057.  This debt relates to the Council’s housing stock within its HRA.  The first repayment</w:t>
      </w:r>
      <w:r w:rsidR="00B92702">
        <w:rPr>
          <w:rFonts w:cs="Arial"/>
          <w:color w:val="auto"/>
          <w:lang w:eastAsia="en-US"/>
        </w:rPr>
        <w:t>, of £20 million,</w:t>
      </w:r>
      <w:r w:rsidRPr="00D71D8D">
        <w:rPr>
          <w:rFonts w:cs="Arial"/>
          <w:color w:val="auto"/>
          <w:lang w:eastAsia="en-US"/>
        </w:rPr>
        <w:t xml:space="preserve"> is due in 2020/21. </w:t>
      </w:r>
      <w:r w:rsidR="00DA4559">
        <w:rPr>
          <w:rFonts w:cs="Arial"/>
          <w:color w:val="auto"/>
          <w:lang w:eastAsia="en-US"/>
        </w:rPr>
        <w:t xml:space="preserve"> It is currently anticipated that debt </w:t>
      </w:r>
      <w:r w:rsidR="008D51B8">
        <w:rPr>
          <w:rFonts w:cs="Arial"/>
          <w:color w:val="auto"/>
          <w:lang w:eastAsia="en-US"/>
        </w:rPr>
        <w:t>to the same value will be taken out in order to replace the debt repaid</w:t>
      </w:r>
      <w:r w:rsidR="00DA4559">
        <w:rPr>
          <w:rFonts w:cs="Arial"/>
          <w:color w:val="auto"/>
          <w:lang w:eastAsia="en-US"/>
        </w:rPr>
        <w:t>.</w:t>
      </w:r>
      <w:r w:rsidR="00CC2886">
        <w:rPr>
          <w:rFonts w:cs="Arial"/>
          <w:color w:val="auto"/>
          <w:lang w:eastAsia="en-US"/>
        </w:rPr>
        <w:t xml:space="preserve"> The first repayment of this debt</w:t>
      </w:r>
      <w:r w:rsidR="00B92702">
        <w:rPr>
          <w:rFonts w:cs="Arial"/>
          <w:color w:val="auto"/>
          <w:lang w:eastAsia="en-US"/>
        </w:rPr>
        <w:t>,</w:t>
      </w:r>
      <w:r w:rsidR="00CC2886">
        <w:rPr>
          <w:rFonts w:cs="Arial"/>
          <w:color w:val="auto"/>
          <w:lang w:eastAsia="en-US"/>
        </w:rPr>
        <w:t xml:space="preserve"> in the sum of £20 million, will now take place in 2025-26.</w:t>
      </w:r>
    </w:p>
    <w:p w:rsidR="00D71D8D" w:rsidRPr="00D71D8D" w:rsidRDefault="00D71D8D" w:rsidP="00D71D8D">
      <w:pPr>
        <w:spacing w:after="0"/>
        <w:ind w:left="1134"/>
        <w:contextualSpacing/>
        <w:rPr>
          <w:rFonts w:cs="Arial"/>
          <w:color w:val="auto"/>
          <w:lang w:eastAsia="en-US"/>
        </w:rPr>
      </w:pPr>
    </w:p>
    <w:p w:rsid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Council’s Capital Financing Requirement </w:t>
      </w:r>
      <w:r w:rsidR="00DA4559">
        <w:rPr>
          <w:rFonts w:cs="Arial"/>
          <w:color w:val="auto"/>
          <w:lang w:eastAsia="en-US"/>
        </w:rPr>
        <w:t xml:space="preserve">(CFR) </w:t>
      </w:r>
      <w:r w:rsidRPr="00D71D8D">
        <w:rPr>
          <w:rFonts w:cs="Arial"/>
          <w:color w:val="auto"/>
          <w:lang w:eastAsia="en-US"/>
        </w:rPr>
        <w:t>is an indication of the Council’s underlying need to borrow to fund its capital investments; this borrowing can be undertaken internally using available resources or externally by borrowing from a financial institution or the Public Works Loans Board (PWLB).</w:t>
      </w:r>
      <w:r w:rsidR="00DA4559">
        <w:rPr>
          <w:rFonts w:cs="Arial"/>
          <w:color w:val="auto"/>
          <w:lang w:eastAsia="en-US"/>
        </w:rPr>
        <w:t xml:space="preserve">  The estimated level of CFR for each year can be found in the Prudential Indicators in Appendix 2.</w:t>
      </w:r>
    </w:p>
    <w:p w:rsidR="00A60D19" w:rsidRDefault="00A60D19" w:rsidP="00A60D19">
      <w:pPr>
        <w:pStyle w:val="ListParagraph"/>
        <w:numPr>
          <w:ilvl w:val="0"/>
          <w:numId w:val="0"/>
        </w:numPr>
        <w:ind w:left="426"/>
        <w:rPr>
          <w:rFonts w:cs="Arial"/>
          <w:color w:val="auto"/>
          <w:lang w:eastAsia="en-US"/>
        </w:rPr>
      </w:pPr>
    </w:p>
    <w:p w:rsidR="00A60D19" w:rsidRDefault="00A60D19" w:rsidP="0020712A">
      <w:pPr>
        <w:numPr>
          <w:ilvl w:val="0"/>
          <w:numId w:val="6"/>
        </w:numPr>
        <w:spacing w:after="0"/>
        <w:contextualSpacing/>
        <w:rPr>
          <w:rFonts w:cs="Arial"/>
          <w:color w:val="auto"/>
          <w:lang w:eastAsia="en-US"/>
        </w:rPr>
      </w:pPr>
      <w:r>
        <w:rPr>
          <w:rFonts w:cs="Arial"/>
          <w:color w:val="auto"/>
          <w:lang w:eastAsia="en-US"/>
        </w:rPr>
        <w:t xml:space="preserve">In October 2018, </w:t>
      </w:r>
      <w:r w:rsidRPr="00A60D19">
        <w:rPr>
          <w:rFonts w:cs="Arial"/>
          <w:color w:val="auto"/>
          <w:lang w:eastAsia="en-US"/>
        </w:rPr>
        <w:t xml:space="preserve">a policy change of </w:t>
      </w:r>
      <w:r>
        <w:rPr>
          <w:rFonts w:cs="Arial"/>
          <w:color w:val="auto"/>
          <w:lang w:eastAsia="en-US"/>
        </w:rPr>
        <w:t xml:space="preserve">the </w:t>
      </w:r>
      <w:r w:rsidRPr="00A60D19">
        <w:rPr>
          <w:rFonts w:cs="Arial"/>
          <w:color w:val="auto"/>
          <w:lang w:eastAsia="en-US"/>
        </w:rPr>
        <w:t>abolition of the HRA debt cap</w:t>
      </w:r>
      <w:r>
        <w:rPr>
          <w:rFonts w:cs="Arial"/>
          <w:color w:val="auto"/>
          <w:lang w:eastAsia="en-US"/>
        </w:rPr>
        <w:t xml:space="preserve"> was announced</w:t>
      </w:r>
      <w:r w:rsidRPr="00A60D19">
        <w:rPr>
          <w:rFonts w:cs="Arial"/>
          <w:color w:val="auto"/>
          <w:lang w:eastAsia="en-US"/>
        </w:rPr>
        <w:t>.</w:t>
      </w:r>
      <w:r>
        <w:rPr>
          <w:rFonts w:cs="Arial"/>
          <w:color w:val="auto"/>
          <w:lang w:eastAsia="en-US"/>
        </w:rPr>
        <w:t xml:space="preserve"> </w:t>
      </w:r>
      <w:r w:rsidRPr="00A60D19">
        <w:rPr>
          <w:rFonts w:cs="Arial"/>
          <w:color w:val="auto"/>
          <w:lang w:eastAsia="en-US"/>
        </w:rPr>
        <w:t xml:space="preserve"> The Chancellor announced in the Budget that the</w:t>
      </w:r>
      <w:r>
        <w:rPr>
          <w:rFonts w:cs="Arial"/>
          <w:color w:val="auto"/>
          <w:lang w:eastAsia="en-US"/>
        </w:rPr>
        <w:t xml:space="preserve"> date the debt cap was to be removed </w:t>
      </w:r>
      <w:r w:rsidRPr="00A60D19">
        <w:rPr>
          <w:rFonts w:cs="Arial"/>
          <w:color w:val="auto"/>
          <w:lang w:eastAsia="en-US"/>
        </w:rPr>
        <w:t>was 29</w:t>
      </w:r>
      <w:r w:rsidRPr="00A60D19">
        <w:rPr>
          <w:rFonts w:cs="Arial"/>
          <w:color w:val="auto"/>
          <w:vertAlign w:val="superscript"/>
          <w:lang w:eastAsia="en-US"/>
        </w:rPr>
        <w:t>th</w:t>
      </w:r>
      <w:r>
        <w:rPr>
          <w:rFonts w:cs="Arial"/>
          <w:color w:val="auto"/>
          <w:lang w:eastAsia="en-US"/>
        </w:rPr>
        <w:t xml:space="preserve"> October 2018</w:t>
      </w:r>
      <w:r w:rsidRPr="00A60D19">
        <w:rPr>
          <w:rFonts w:cs="Arial"/>
          <w:color w:val="auto"/>
          <w:lang w:eastAsia="en-US"/>
        </w:rPr>
        <w:t>.</w:t>
      </w:r>
      <w:r w:rsidR="00CC2886">
        <w:rPr>
          <w:rFonts w:cs="Arial"/>
          <w:color w:val="auto"/>
          <w:lang w:eastAsia="en-US"/>
        </w:rPr>
        <w:t xml:space="preserve"> The Council can now undertake further borrowing to finance HRA capital expenditure, provided it is both affordable and prudent to do so, in line with the CIPFA Prudential Borrowing Code. The Council is considering how it will use these new borrowing powers to increase housing supply.</w:t>
      </w:r>
    </w:p>
    <w:p w:rsidR="00D71D8D" w:rsidRPr="00010297" w:rsidRDefault="00D71D8D" w:rsidP="00010297">
      <w:pPr>
        <w:pStyle w:val="Heading1"/>
      </w:pPr>
      <w:r w:rsidRPr="00010297">
        <w:t>Borrowing Strategy 201</w:t>
      </w:r>
      <w:r w:rsidR="00E74E79" w:rsidRPr="00010297">
        <w:t>8/19</w:t>
      </w: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 </w:t>
      </w:r>
      <w:r w:rsidRPr="00263E8A">
        <w:rPr>
          <w:rFonts w:cs="Arial"/>
          <w:color w:val="auto"/>
          <w:lang w:eastAsia="en-US"/>
        </w:rPr>
        <w:t>currently has £</w:t>
      </w:r>
      <w:r w:rsidR="00AA77C5" w:rsidRPr="00263E8A">
        <w:rPr>
          <w:rFonts w:cs="Arial"/>
          <w:color w:val="auto"/>
          <w:lang w:eastAsia="en-US"/>
        </w:rPr>
        <w:t>2</w:t>
      </w:r>
      <w:r w:rsidR="00263E8A" w:rsidRPr="00263E8A">
        <w:rPr>
          <w:rFonts w:cs="Arial"/>
          <w:color w:val="auto"/>
          <w:lang w:eastAsia="en-US"/>
        </w:rPr>
        <w:t>6</w:t>
      </w:r>
      <w:r w:rsidR="00AA77C5" w:rsidRPr="00263E8A">
        <w:rPr>
          <w:rFonts w:cs="Arial"/>
          <w:color w:val="auto"/>
          <w:lang w:eastAsia="en-US"/>
        </w:rPr>
        <w:t>.1</w:t>
      </w:r>
      <w:r w:rsidRPr="00263E8A">
        <w:rPr>
          <w:rFonts w:cs="Arial"/>
          <w:color w:val="auto"/>
          <w:lang w:eastAsia="en-US"/>
        </w:rPr>
        <w:t xml:space="preserve"> million</w:t>
      </w:r>
      <w:r w:rsidR="00263E8A" w:rsidRPr="00263E8A">
        <w:rPr>
          <w:rFonts w:cs="Arial"/>
          <w:color w:val="auto"/>
          <w:lang w:eastAsia="en-US"/>
        </w:rPr>
        <w:t xml:space="preserve"> </w:t>
      </w:r>
      <w:r w:rsidRPr="00263E8A">
        <w:rPr>
          <w:rFonts w:cs="Arial"/>
          <w:color w:val="auto"/>
          <w:lang w:eastAsia="en-US"/>
        </w:rPr>
        <w:t>internal</w:t>
      </w:r>
      <w:r w:rsidRPr="00D71D8D">
        <w:rPr>
          <w:rFonts w:cs="Arial"/>
          <w:color w:val="auto"/>
          <w:lang w:eastAsia="en-US"/>
        </w:rPr>
        <w:t xml:space="preserve"> borrowing</w:t>
      </w:r>
      <w:r w:rsidR="00263E8A">
        <w:rPr>
          <w:rFonts w:cs="Arial"/>
          <w:color w:val="auto"/>
          <w:lang w:eastAsia="en-US"/>
        </w:rPr>
        <w:t xml:space="preserve"> as at 1</w:t>
      </w:r>
      <w:r w:rsidR="00263E8A" w:rsidRPr="00263E8A">
        <w:rPr>
          <w:rFonts w:cs="Arial"/>
          <w:color w:val="auto"/>
          <w:vertAlign w:val="superscript"/>
          <w:lang w:eastAsia="en-US"/>
        </w:rPr>
        <w:t>st</w:t>
      </w:r>
      <w:r w:rsidR="00263E8A">
        <w:rPr>
          <w:rFonts w:cs="Arial"/>
          <w:color w:val="auto"/>
          <w:lang w:eastAsia="en-US"/>
        </w:rPr>
        <w:t xml:space="preserve"> April 2018</w:t>
      </w:r>
      <w:r w:rsidRPr="00D71D8D">
        <w:rPr>
          <w:rFonts w:cs="Arial"/>
          <w:color w:val="auto"/>
          <w:lang w:eastAsia="en-US"/>
        </w:rPr>
        <w:t xml:space="preserve">.  This means that the capital borrowing need (the Capital Financing Requirement), has not been fully funded with loan debt </w:t>
      </w:r>
      <w:r w:rsidR="00A60D19">
        <w:rPr>
          <w:rFonts w:cs="Arial"/>
          <w:color w:val="auto"/>
          <w:lang w:eastAsia="en-US"/>
        </w:rPr>
        <w:t>since</w:t>
      </w:r>
      <w:r w:rsidRPr="00D71D8D">
        <w:rPr>
          <w:rFonts w:cs="Arial"/>
          <w:color w:val="auto"/>
          <w:lang w:eastAsia="en-US"/>
        </w:rPr>
        <w:t xml:space="preserve"> cash supporting the Council’s reserves, balances and cash flow has been used as a temporary funding source.  This strategy is prudent as investment returns are low and counterparty risk is still an issue that needs to be considered.</w:t>
      </w:r>
    </w:p>
    <w:p w:rsidR="00D71D8D" w:rsidRPr="00D71D8D" w:rsidRDefault="00D71D8D" w:rsidP="00D71D8D">
      <w:pPr>
        <w:spacing w:after="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Head of Financial Services will continue to monitor interest rates and </w:t>
      </w:r>
      <w:r w:rsidR="00A60D19">
        <w:rPr>
          <w:rFonts w:cs="Arial"/>
          <w:color w:val="auto"/>
          <w:lang w:eastAsia="en-US"/>
        </w:rPr>
        <w:t>take</w:t>
      </w:r>
      <w:r w:rsidRPr="00D71D8D">
        <w:rPr>
          <w:rFonts w:cs="Arial"/>
          <w:color w:val="auto"/>
          <w:lang w:eastAsia="en-US"/>
        </w:rPr>
        <w:t xml:space="preserve"> a pragmatic approach to changing circumstances</w:t>
      </w:r>
      <w:r w:rsidR="00A60D19">
        <w:rPr>
          <w:rFonts w:cs="Arial"/>
          <w:color w:val="auto"/>
          <w:lang w:eastAsia="en-US"/>
        </w:rPr>
        <w:t xml:space="preserve">.  Due to the risks </w:t>
      </w:r>
      <w:r w:rsidR="00D418F3">
        <w:rPr>
          <w:rFonts w:cs="Arial"/>
          <w:color w:val="auto"/>
          <w:lang w:eastAsia="en-US"/>
        </w:rPr>
        <w:t>within the economic forecast,</w:t>
      </w:r>
      <w:r w:rsidR="00A60D19" w:rsidRPr="00A60D19">
        <w:t xml:space="preserve"> </w:t>
      </w:r>
      <w:r w:rsidR="00A60D19" w:rsidRPr="00A60D19">
        <w:rPr>
          <w:rFonts w:cs="Arial"/>
          <w:color w:val="auto"/>
          <w:lang w:eastAsia="en-US"/>
        </w:rPr>
        <w:t>caution will be adopted with the 2019/20 treasury operations</w:t>
      </w:r>
      <w:r w:rsidRPr="00D71D8D">
        <w:rPr>
          <w:rFonts w:cs="Arial"/>
          <w:color w:val="auto"/>
          <w:lang w:eastAsia="en-US"/>
        </w:rPr>
        <w:t>:</w:t>
      </w:r>
    </w:p>
    <w:p w:rsidR="00D71D8D" w:rsidRPr="00D71D8D" w:rsidRDefault="00E74E79" w:rsidP="0020712A">
      <w:pPr>
        <w:numPr>
          <w:ilvl w:val="0"/>
          <w:numId w:val="13"/>
        </w:numPr>
        <w:spacing w:after="0"/>
        <w:contextualSpacing/>
        <w:rPr>
          <w:rFonts w:cs="Arial"/>
          <w:color w:val="auto"/>
          <w:lang w:eastAsia="en-US"/>
        </w:rPr>
      </w:pPr>
      <w:r>
        <w:rPr>
          <w:rFonts w:cs="Arial"/>
          <w:color w:val="auto"/>
          <w:lang w:eastAsia="en-US"/>
        </w:rPr>
        <w:t>I</w:t>
      </w:r>
      <w:r w:rsidR="00D71D8D" w:rsidRPr="00D71D8D">
        <w:rPr>
          <w:rFonts w:cs="Arial"/>
          <w:color w:val="auto"/>
          <w:lang w:eastAsia="en-US"/>
        </w:rPr>
        <w:t xml:space="preserve">f it is </w:t>
      </w:r>
      <w:r>
        <w:rPr>
          <w:rFonts w:cs="Arial"/>
          <w:color w:val="auto"/>
          <w:lang w:eastAsia="en-US"/>
        </w:rPr>
        <w:t>considered</w:t>
      </w:r>
      <w:r w:rsidR="00D71D8D" w:rsidRPr="00D71D8D">
        <w:rPr>
          <w:rFonts w:cs="Arial"/>
          <w:color w:val="auto"/>
          <w:lang w:eastAsia="en-US"/>
        </w:rPr>
        <w:t xml:space="preserve"> that there is a likelihood of a significant fall in long and short term rates (e.g. du</w:t>
      </w:r>
      <w:r w:rsidR="0062055D">
        <w:rPr>
          <w:rFonts w:cs="Arial"/>
          <w:color w:val="auto"/>
          <w:lang w:eastAsia="en-US"/>
        </w:rPr>
        <w:t xml:space="preserve">e to a marked increase of risks in respect of recession or </w:t>
      </w:r>
      <w:r w:rsidR="00D71D8D" w:rsidRPr="00D71D8D">
        <w:rPr>
          <w:rFonts w:cs="Arial"/>
          <w:color w:val="auto"/>
          <w:lang w:eastAsia="en-US"/>
        </w:rPr>
        <w:t>deflation), then long term borrowing will be postponed, and potential rescheduling from fixed rate funding into short term borrowing will be considered.</w:t>
      </w:r>
    </w:p>
    <w:p w:rsidR="00D71D8D" w:rsidRPr="00D71D8D" w:rsidRDefault="00D71D8D" w:rsidP="0020712A">
      <w:pPr>
        <w:numPr>
          <w:ilvl w:val="0"/>
          <w:numId w:val="13"/>
        </w:numPr>
        <w:spacing w:after="0"/>
        <w:contextualSpacing/>
        <w:rPr>
          <w:rFonts w:cs="Arial"/>
          <w:color w:val="auto"/>
          <w:lang w:eastAsia="en-US"/>
        </w:rPr>
      </w:pPr>
      <w:r w:rsidRPr="00D71D8D">
        <w:rPr>
          <w:rFonts w:cs="Arial"/>
          <w:color w:val="auto"/>
          <w:lang w:eastAsia="en-US"/>
        </w:rPr>
        <w:t>Alternat</w:t>
      </w:r>
      <w:r w:rsidR="0062055D">
        <w:rPr>
          <w:rFonts w:cs="Arial"/>
          <w:color w:val="auto"/>
          <w:lang w:eastAsia="en-US"/>
        </w:rPr>
        <w:t>ive</w:t>
      </w:r>
      <w:r w:rsidRPr="00D71D8D">
        <w:rPr>
          <w:rFonts w:cs="Arial"/>
          <w:color w:val="auto"/>
          <w:lang w:eastAsia="en-US"/>
        </w:rPr>
        <w:t>ly</w:t>
      </w:r>
      <w:r w:rsidR="0062055D">
        <w:rPr>
          <w:rFonts w:cs="Arial"/>
          <w:color w:val="auto"/>
          <w:lang w:eastAsia="en-US"/>
        </w:rPr>
        <w:t>,</w:t>
      </w:r>
      <w:r w:rsidRPr="00D71D8D">
        <w:rPr>
          <w:rFonts w:cs="Arial"/>
          <w:color w:val="auto"/>
          <w:lang w:eastAsia="en-US"/>
        </w:rPr>
        <w:t xml:space="preserve"> if it is felt that there is a significant risk of a sharp increase in long and short term rates than currently forecast, then external borrowing is likely to be taken earlier.</w:t>
      </w:r>
    </w:p>
    <w:p w:rsidR="00D71D8D" w:rsidRPr="00010297" w:rsidRDefault="00D71D8D" w:rsidP="00010297">
      <w:pPr>
        <w:pStyle w:val="Heading1"/>
      </w:pPr>
      <w:bookmarkStart w:id="1" w:name="_Toc465084317"/>
      <w:r w:rsidRPr="00010297">
        <w:lastRenderedPageBreak/>
        <w:t>Borrowing in Advance of Need</w:t>
      </w:r>
      <w:bookmarkEnd w:id="1"/>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w:t>
      </w:r>
    </w:p>
    <w:p w:rsidR="00D418F3" w:rsidRDefault="00D418F3" w:rsidP="00D418F3">
      <w:pPr>
        <w:spacing w:after="0"/>
        <w:ind w:left="36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Any decision to borrow in advance will be within approved Capital Financing Requirement estimates, and demonstrate value for money.   Prior to borrowing in advance the risks and benefits of undertaking the borrowing will be considered. Actual borrowing will be subsequently reported through either the mid-year performance report or annual report as appropriate.</w:t>
      </w:r>
      <w:r w:rsidR="00DA4559">
        <w:rPr>
          <w:rFonts w:cs="Arial"/>
          <w:color w:val="auto"/>
          <w:lang w:eastAsia="en-US"/>
        </w:rPr>
        <w:t xml:space="preserve">  Due to the amount of Prudential Borrowing in the </w:t>
      </w:r>
      <w:r w:rsidR="001250F2">
        <w:rPr>
          <w:rFonts w:cs="Arial"/>
          <w:color w:val="auto"/>
          <w:lang w:eastAsia="en-US"/>
        </w:rPr>
        <w:t>C</w:t>
      </w:r>
      <w:r w:rsidR="00DA4559">
        <w:rPr>
          <w:rFonts w:cs="Arial"/>
          <w:color w:val="auto"/>
          <w:lang w:eastAsia="en-US"/>
        </w:rPr>
        <w:t xml:space="preserve">apital </w:t>
      </w:r>
      <w:r w:rsidR="001250F2">
        <w:rPr>
          <w:rFonts w:cs="Arial"/>
          <w:color w:val="auto"/>
          <w:lang w:eastAsia="en-US"/>
        </w:rPr>
        <w:t>P</w:t>
      </w:r>
      <w:r w:rsidR="00DA4559">
        <w:rPr>
          <w:rFonts w:cs="Arial"/>
          <w:color w:val="auto"/>
          <w:lang w:eastAsia="en-US"/>
        </w:rPr>
        <w:t>rogramme, the potential benefits of borrowing in advance will be closely monitored.</w:t>
      </w:r>
    </w:p>
    <w:p w:rsidR="00D71D8D" w:rsidRPr="00010297" w:rsidRDefault="00D71D8D" w:rsidP="00010297">
      <w:pPr>
        <w:pStyle w:val="Heading1"/>
      </w:pPr>
      <w:r w:rsidRPr="00010297">
        <w:t>Minimum Revenue Provision (MRP) Statement 201</w:t>
      </w:r>
      <w:r w:rsidR="00140C81">
        <w:t>9</w:t>
      </w:r>
      <w:r w:rsidR="0062055D" w:rsidRPr="00010297">
        <w:t>/</w:t>
      </w:r>
      <w:r w:rsidR="00140C81">
        <w:t>20</w:t>
      </w: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Prudential borrowing increases the Council’s Capital Financing Requirement (CFR) or underlying need to borrow.  Whether the Council actually borrows to finance capital expenditure is a treasury management decision unconnected 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  This charge is known as the Minimum Revenue Provision (MRP) and reflects the repayment of principal borrowed.</w:t>
      </w:r>
    </w:p>
    <w:p w:rsidR="00D71D8D" w:rsidRPr="00D71D8D" w:rsidRDefault="00D71D8D" w:rsidP="00D71D8D">
      <w:pPr>
        <w:spacing w:after="0"/>
        <w:ind w:left="720"/>
        <w:contextualSpacing/>
        <w:rPr>
          <w:rFonts w:cs="Arial"/>
          <w:color w:val="auto"/>
          <w:lang w:eastAsia="en-US"/>
        </w:rPr>
      </w:pPr>
    </w:p>
    <w:p w:rsidR="00D71D8D" w:rsidRPr="001A297A"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Regulations require the Council to approve an MRP policy on an </w:t>
      </w:r>
      <w:r w:rsidRPr="001A297A">
        <w:rPr>
          <w:rFonts w:cs="Arial"/>
          <w:color w:val="auto"/>
          <w:lang w:eastAsia="en-US"/>
        </w:rPr>
        <w:t xml:space="preserve">annual basis.  The following statement </w:t>
      </w:r>
      <w:r w:rsidR="001A297A" w:rsidRPr="001A297A">
        <w:rPr>
          <w:rFonts w:cs="Arial"/>
          <w:color w:val="auto"/>
          <w:lang w:eastAsia="en-US"/>
        </w:rPr>
        <w:t>is unchanged from the</w:t>
      </w:r>
      <w:r w:rsidR="009E7959" w:rsidRPr="001A297A">
        <w:rPr>
          <w:rFonts w:cs="Arial"/>
          <w:color w:val="auto"/>
          <w:lang w:eastAsia="en-US"/>
        </w:rPr>
        <w:t xml:space="preserve"> 2018/19 strategy </w:t>
      </w:r>
      <w:r w:rsidR="001A297A" w:rsidRPr="001A297A">
        <w:rPr>
          <w:rFonts w:cs="Arial"/>
          <w:color w:val="auto"/>
          <w:lang w:eastAsia="en-US"/>
        </w:rPr>
        <w:t>apart from a minor change to point d) to clarify that this point includes the leases to Oxford Direct Services.  It is</w:t>
      </w:r>
      <w:r w:rsidRPr="001A297A">
        <w:rPr>
          <w:rFonts w:cs="Arial"/>
          <w:color w:val="auto"/>
          <w:lang w:eastAsia="en-US"/>
        </w:rPr>
        <w:t xml:space="preserve"> recommended</w:t>
      </w:r>
      <w:r w:rsidR="009E7959" w:rsidRPr="001A297A">
        <w:rPr>
          <w:rFonts w:cs="Arial"/>
          <w:color w:val="auto"/>
          <w:lang w:eastAsia="en-US"/>
        </w:rPr>
        <w:t xml:space="preserve"> that this </w:t>
      </w:r>
      <w:r w:rsidR="001A297A" w:rsidRPr="001A297A">
        <w:rPr>
          <w:rFonts w:cs="Arial"/>
          <w:color w:val="auto"/>
          <w:lang w:eastAsia="en-US"/>
        </w:rPr>
        <w:t xml:space="preserve">statement </w:t>
      </w:r>
      <w:r w:rsidR="009E7959" w:rsidRPr="001A297A">
        <w:rPr>
          <w:rFonts w:cs="Arial"/>
          <w:color w:val="auto"/>
          <w:lang w:eastAsia="en-US"/>
        </w:rPr>
        <w:t xml:space="preserve">be used </w:t>
      </w:r>
      <w:r w:rsidRPr="001A297A">
        <w:rPr>
          <w:rFonts w:cs="Arial"/>
          <w:color w:val="auto"/>
          <w:lang w:eastAsia="en-US"/>
        </w:rPr>
        <w:t>for 201</w:t>
      </w:r>
      <w:r w:rsidR="009E7959" w:rsidRPr="001A297A">
        <w:rPr>
          <w:rFonts w:cs="Arial"/>
          <w:color w:val="auto"/>
          <w:lang w:eastAsia="en-US"/>
        </w:rPr>
        <w:t>9</w:t>
      </w:r>
      <w:r w:rsidRPr="001A297A">
        <w:rPr>
          <w:rFonts w:cs="Arial"/>
          <w:color w:val="auto"/>
          <w:lang w:eastAsia="en-US"/>
        </w:rPr>
        <w:t>/</w:t>
      </w:r>
      <w:r w:rsidR="009E7959" w:rsidRPr="001A297A">
        <w:rPr>
          <w:rFonts w:cs="Arial"/>
          <w:color w:val="auto"/>
          <w:lang w:eastAsia="en-US"/>
        </w:rPr>
        <w:t>20</w:t>
      </w:r>
      <w:r w:rsidR="001A297A" w:rsidRPr="001A297A">
        <w:rPr>
          <w:rFonts w:cs="Arial"/>
          <w:color w:val="auto"/>
          <w:lang w:eastAsia="en-US"/>
        </w:rPr>
        <w:t>:</w:t>
      </w:r>
    </w:p>
    <w:p w:rsidR="00D71D8D" w:rsidRPr="00D71D8D" w:rsidRDefault="00D71D8D" w:rsidP="00D71D8D">
      <w:pPr>
        <w:spacing w:after="0"/>
        <w:ind w:left="1440"/>
        <w:contextualSpacing/>
        <w:rPr>
          <w:rFonts w:cs="Arial"/>
          <w:color w:val="auto"/>
          <w:lang w:eastAsia="en-US"/>
        </w:rPr>
      </w:pPr>
    </w:p>
    <w:p w:rsidR="00D71D8D" w:rsidRP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 xml:space="preserve">For capital expenditure incurred before 1 April 2008 or which in the future will be </w:t>
      </w:r>
      <w:r w:rsidR="001250F2">
        <w:rPr>
          <w:rFonts w:cs="Arial"/>
          <w:color w:val="auto"/>
          <w:lang w:eastAsia="en-US"/>
        </w:rPr>
        <w:t>S</w:t>
      </w:r>
      <w:r w:rsidRPr="00D71D8D">
        <w:rPr>
          <w:rFonts w:cs="Arial"/>
          <w:color w:val="auto"/>
          <w:lang w:eastAsia="en-US"/>
        </w:rPr>
        <w:t xml:space="preserve">upported </w:t>
      </w:r>
      <w:r w:rsidR="001250F2">
        <w:rPr>
          <w:rFonts w:cs="Arial"/>
          <w:color w:val="auto"/>
          <w:lang w:eastAsia="en-US"/>
        </w:rPr>
        <w:t>C</w:t>
      </w:r>
      <w:r w:rsidRPr="00D71D8D">
        <w:rPr>
          <w:rFonts w:cs="Arial"/>
          <w:color w:val="auto"/>
          <w:lang w:eastAsia="en-US"/>
        </w:rPr>
        <w:t xml:space="preserve">apital </w:t>
      </w:r>
      <w:r w:rsidR="001250F2">
        <w:rPr>
          <w:rFonts w:cs="Arial"/>
          <w:color w:val="auto"/>
          <w:lang w:eastAsia="en-US"/>
        </w:rPr>
        <w:t>E</w:t>
      </w:r>
      <w:r w:rsidRPr="00D71D8D">
        <w:rPr>
          <w:rFonts w:cs="Arial"/>
          <w:color w:val="auto"/>
          <w:lang w:eastAsia="en-US"/>
        </w:rPr>
        <w:t>xpenditure</w:t>
      </w:r>
      <w:r w:rsidRPr="00D71D8D">
        <w:rPr>
          <w:rFonts w:cs="Arial"/>
          <w:color w:val="auto"/>
          <w:vertAlign w:val="superscript"/>
          <w:lang w:eastAsia="en-US"/>
        </w:rPr>
        <w:footnoteReference w:id="1"/>
      </w:r>
      <w:r w:rsidRPr="00D71D8D">
        <w:rPr>
          <w:rFonts w:cs="Arial"/>
          <w:color w:val="auto"/>
          <w:lang w:eastAsia="en-US"/>
        </w:rPr>
        <w:t>, existing practice,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For capital expenditure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P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 xml:space="preserve">For all </w:t>
      </w:r>
      <w:r w:rsidR="001250F2">
        <w:rPr>
          <w:rFonts w:cs="Arial"/>
          <w:color w:val="auto"/>
          <w:lang w:eastAsia="en-US"/>
        </w:rPr>
        <w:t>U</w:t>
      </w:r>
      <w:r w:rsidRPr="00D71D8D">
        <w:rPr>
          <w:rFonts w:cs="Arial"/>
          <w:color w:val="auto"/>
          <w:lang w:eastAsia="en-US"/>
        </w:rPr>
        <w:t xml:space="preserve">nsupported </w:t>
      </w:r>
      <w:r w:rsidR="001250F2">
        <w:rPr>
          <w:rFonts w:cs="Arial"/>
          <w:color w:val="auto"/>
          <w:lang w:eastAsia="en-US"/>
        </w:rPr>
        <w:t>B</w:t>
      </w:r>
      <w:r w:rsidRPr="00D71D8D">
        <w:rPr>
          <w:rFonts w:cs="Arial"/>
          <w:color w:val="auto"/>
          <w:lang w:eastAsia="en-US"/>
        </w:rPr>
        <w:t>orrowing</w:t>
      </w:r>
      <w:r w:rsidRPr="00D71D8D">
        <w:rPr>
          <w:rFonts w:cs="Arial"/>
          <w:color w:val="auto"/>
          <w:vertAlign w:val="superscript"/>
          <w:lang w:eastAsia="en-US"/>
        </w:rPr>
        <w:footnoteReference w:id="2"/>
      </w:r>
      <w:r w:rsidRPr="00D71D8D">
        <w:rPr>
          <w:rFonts w:cs="Arial"/>
          <w:color w:val="auto"/>
          <w:lang w:eastAsia="en-US"/>
        </w:rPr>
        <w:t xml:space="preserve"> incurred after 1 April 2008 the MRP policy will be the Asset Life Method (with the exception of d) below, i.e. the MRP will </w:t>
      </w:r>
      <w:r w:rsidRPr="00D71D8D">
        <w:rPr>
          <w:rFonts w:cs="Arial"/>
          <w:color w:val="auto"/>
          <w:lang w:eastAsia="en-US"/>
        </w:rPr>
        <w:lastRenderedPageBreak/>
        <w:t>be based on the estimated life of the asset and borrowing will be charged to the revenue account in equal instalments over the life of the asset.</w:t>
      </w:r>
    </w:p>
    <w:p w:rsidR="00D71D8D" w:rsidRPr="00D71D8D" w:rsidRDefault="00D71D8D" w:rsidP="00D71D8D">
      <w:pPr>
        <w:spacing w:after="0"/>
        <w:ind w:left="1440"/>
        <w:contextualSpacing/>
        <w:rPr>
          <w:rFonts w:cs="Arial"/>
          <w:color w:val="auto"/>
          <w:lang w:eastAsia="en-US"/>
        </w:rPr>
      </w:pPr>
    </w:p>
    <w:p w:rsid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 xml:space="preserve">In respect of the Council’s investments in a Directly Managed Property Fund or loans </w:t>
      </w:r>
      <w:r w:rsidR="001A297A">
        <w:rPr>
          <w:rFonts w:cs="Arial"/>
          <w:color w:val="auto"/>
          <w:lang w:eastAsia="en-US"/>
        </w:rPr>
        <w:t xml:space="preserve">or leases </w:t>
      </w:r>
      <w:r w:rsidRPr="00D71D8D">
        <w:rPr>
          <w:rFonts w:cs="Arial"/>
          <w:color w:val="auto"/>
          <w:lang w:eastAsia="en-US"/>
        </w:rPr>
        <w:t xml:space="preserve">to other organisations such as a company in which the Council has an interest, under </w:t>
      </w:r>
      <w:proofErr w:type="gramStart"/>
      <w:r w:rsidRPr="00D71D8D">
        <w:rPr>
          <w:rFonts w:cs="Arial"/>
          <w:color w:val="auto"/>
          <w:lang w:eastAsia="en-US"/>
        </w:rPr>
        <w:t>s25(</w:t>
      </w:r>
      <w:proofErr w:type="gramEnd"/>
      <w:r w:rsidRPr="00D71D8D">
        <w:rPr>
          <w:rFonts w:cs="Arial"/>
          <w:color w:val="auto"/>
          <w:lang w:eastAsia="en-US"/>
        </w:rPr>
        <w:t xml:space="preserve">b)/s25(d) of The Local Authorities Capital Finance and Accounting (England) Regulations 2003 the Council will make no </w:t>
      </w:r>
      <w:r w:rsidR="001A297A">
        <w:rPr>
          <w:rFonts w:cs="Arial"/>
          <w:color w:val="auto"/>
          <w:lang w:eastAsia="en-US"/>
        </w:rPr>
        <w:t xml:space="preserve">separate </w:t>
      </w:r>
      <w:r w:rsidRPr="00D71D8D">
        <w:rPr>
          <w:rFonts w:cs="Arial"/>
          <w:color w:val="auto"/>
          <w:lang w:eastAsia="en-US"/>
        </w:rPr>
        <w:t>MRP provision as it is anticipated the investment will be repaid in full</w:t>
      </w:r>
      <w:r w:rsidR="001A297A">
        <w:rPr>
          <w:rFonts w:cs="Arial"/>
          <w:color w:val="auto"/>
          <w:lang w:eastAsia="en-US"/>
        </w:rPr>
        <w:t xml:space="preserve"> and the repayment of the debt will reduce the Capital Financing Requirement</w:t>
      </w:r>
      <w:r w:rsidRPr="00D71D8D">
        <w:rPr>
          <w:rFonts w:cs="Arial"/>
          <w:color w:val="auto"/>
          <w:lang w:eastAsia="en-US"/>
        </w:rPr>
        <w:t>.  The investment and CFR position will be reviewed on at least an annual basis and if there is a likelihood of capital loss, a prudent MRP provision will then be made.</w:t>
      </w:r>
    </w:p>
    <w:p w:rsidR="00D71D8D" w:rsidRDefault="00D418F3" w:rsidP="004A3128">
      <w:pPr>
        <w:pStyle w:val="Heading1"/>
      </w:pPr>
      <w:r>
        <w:t xml:space="preserve">Annual </w:t>
      </w:r>
      <w:r w:rsidR="00D71D8D" w:rsidRPr="004A3128">
        <w:t>Investment Strategy 201</w:t>
      </w:r>
      <w:r w:rsidR="009E7959">
        <w:t>9</w:t>
      </w:r>
      <w:r w:rsidR="0062055D" w:rsidRPr="004A3128">
        <w:t>/</w:t>
      </w:r>
      <w:r w:rsidR="009E7959">
        <w:t>20</w:t>
      </w:r>
    </w:p>
    <w:p w:rsidR="00D418F3" w:rsidRPr="00D418F3" w:rsidRDefault="00D418F3" w:rsidP="00D418F3">
      <w:pPr>
        <w:rPr>
          <w:b/>
        </w:rPr>
      </w:pPr>
      <w:r w:rsidRPr="00D418F3">
        <w:rPr>
          <w:b/>
        </w:rPr>
        <w:t>Management of Risk</w:t>
      </w:r>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MHCLG and CIPFA have extended the meaning of ‘investments’ to include both financial and non-financial investments.  This report deals solely with financial investments, (as managed by the treasury management team).  Non-financial investments, essentially the purchase of income yielding assets, are covered in the Capital Strategy, (a separate report).</w:t>
      </w:r>
    </w:p>
    <w:p w:rsidR="00D418F3" w:rsidRDefault="00D418F3" w:rsidP="00D418F3">
      <w:pPr>
        <w:spacing w:after="0"/>
        <w:ind w:left="360"/>
        <w:contextualSpacing/>
        <w:rPr>
          <w:rFonts w:cs="Arial"/>
          <w:color w:val="auto"/>
          <w:lang w:eastAsia="en-US"/>
        </w:rPr>
      </w:pPr>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Council’s investment policy has regard to the following: -</w:t>
      </w:r>
    </w:p>
    <w:p w:rsidR="00D418F3" w:rsidRPr="00803FAA" w:rsidRDefault="00D418F3" w:rsidP="0020712A">
      <w:pPr>
        <w:pStyle w:val="ListParagraph"/>
        <w:numPr>
          <w:ilvl w:val="0"/>
          <w:numId w:val="16"/>
        </w:numPr>
        <w:tabs>
          <w:tab w:val="clear" w:pos="426"/>
        </w:tabs>
        <w:spacing w:after="0"/>
        <w:jc w:val="both"/>
        <w:rPr>
          <w:rFonts w:cs="Arial"/>
        </w:rPr>
      </w:pPr>
      <w:r w:rsidRPr="00803FAA">
        <w:rPr>
          <w:rFonts w:cs="Arial"/>
        </w:rPr>
        <w:t>MHCLG’s Guidance on Local Government Investments (“the Guidance”)</w:t>
      </w:r>
    </w:p>
    <w:p w:rsidR="00D418F3" w:rsidRPr="00803FAA" w:rsidRDefault="00D418F3" w:rsidP="0020712A">
      <w:pPr>
        <w:pStyle w:val="ListParagraph"/>
        <w:numPr>
          <w:ilvl w:val="0"/>
          <w:numId w:val="16"/>
        </w:numPr>
        <w:tabs>
          <w:tab w:val="clear" w:pos="426"/>
        </w:tabs>
        <w:spacing w:after="0"/>
        <w:jc w:val="both"/>
        <w:rPr>
          <w:rFonts w:cs="Arial"/>
        </w:rPr>
      </w:pPr>
      <w:r w:rsidRPr="00803FAA">
        <w:rPr>
          <w:rFonts w:cs="Arial"/>
        </w:rPr>
        <w:t xml:space="preserve">CIPFA Treasury Management in Public Services Code of Practice and Cross Sectoral Guidance Notes 2017 (“the Code”) </w:t>
      </w:r>
    </w:p>
    <w:p w:rsidR="00D418F3" w:rsidRPr="00803FAA" w:rsidRDefault="00D418F3" w:rsidP="0020712A">
      <w:pPr>
        <w:pStyle w:val="ListParagraph"/>
        <w:numPr>
          <w:ilvl w:val="0"/>
          <w:numId w:val="16"/>
        </w:numPr>
        <w:tabs>
          <w:tab w:val="clear" w:pos="426"/>
        </w:tabs>
        <w:spacing w:after="0"/>
        <w:jc w:val="both"/>
        <w:rPr>
          <w:rFonts w:cs="Arial"/>
        </w:rPr>
      </w:pPr>
      <w:r w:rsidRPr="00803FAA">
        <w:rPr>
          <w:rFonts w:cs="Arial"/>
        </w:rPr>
        <w:t xml:space="preserve">CIPFA Treasury Management Guidance Notes 2018  </w:t>
      </w:r>
    </w:p>
    <w:p w:rsidR="00D418F3" w:rsidRPr="00D418F3" w:rsidRDefault="00D418F3" w:rsidP="00D418F3">
      <w:pPr>
        <w:spacing w:after="0"/>
        <w:ind w:left="360"/>
        <w:contextualSpacing/>
        <w:rPr>
          <w:rFonts w:cs="Arial"/>
          <w:color w:val="auto"/>
          <w:lang w:eastAsia="en-US"/>
        </w:rPr>
      </w:pPr>
      <w:r w:rsidRPr="00D418F3">
        <w:rPr>
          <w:rFonts w:cs="Arial"/>
        </w:rPr>
        <w:t>The Council’s investment priorities will be security first, portfolio liquidity second and then yield, (return).</w:t>
      </w:r>
    </w:p>
    <w:p w:rsidR="00D418F3" w:rsidRDefault="00D418F3" w:rsidP="00D418F3">
      <w:pPr>
        <w:spacing w:after="0"/>
        <w:ind w:left="360"/>
        <w:contextualSpacing/>
        <w:rPr>
          <w:rFonts w:cs="Arial"/>
          <w:color w:val="auto"/>
          <w:lang w:eastAsia="en-US"/>
        </w:rPr>
      </w:pPr>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guidance from the MHCLG and CIPFA place a high priority on the management of risk. This authority has adopted a prudent approach to managing risk and defines its risk appetite by the following means: -</w:t>
      </w:r>
    </w:p>
    <w:p w:rsidR="00D418F3" w:rsidRPr="00D418F3" w:rsidRDefault="00D418F3" w:rsidP="0020712A">
      <w:pPr>
        <w:numPr>
          <w:ilvl w:val="0"/>
          <w:numId w:val="17"/>
        </w:numPr>
        <w:spacing w:after="0"/>
        <w:contextualSpacing/>
        <w:rPr>
          <w:rFonts w:cs="Arial"/>
          <w:color w:val="auto"/>
          <w:lang w:eastAsia="en-US"/>
        </w:rPr>
      </w:pPr>
      <w:r w:rsidRPr="00D418F3">
        <w:rPr>
          <w:rFonts w:cs="Arial"/>
          <w:color w:val="auto"/>
          <w:lang w:eastAsia="en-US"/>
        </w:rPr>
        <w:t xml:space="preserve">Minimum acceptable </w:t>
      </w:r>
      <w:r w:rsidRPr="00D418F3">
        <w:rPr>
          <w:rFonts w:cs="Arial"/>
          <w:b/>
          <w:color w:val="auto"/>
          <w:lang w:eastAsia="en-US"/>
        </w:rPr>
        <w:t>credit criteria</w:t>
      </w:r>
      <w:r w:rsidRPr="00D418F3">
        <w:rPr>
          <w:rFonts w:cs="Arial"/>
          <w:color w:val="auto"/>
          <w:lang w:eastAsia="en-US"/>
        </w:rPr>
        <w:t xml:space="preserve"> are applied in order to generate a list of highly creditworthy counterparties.  This also enables diversification and thus avoidance of concentration risk. The key ratings used to monitor counterparties are the short term and long-term ratings.  </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17"/>
        </w:numPr>
        <w:spacing w:after="0"/>
        <w:contextualSpacing/>
        <w:rPr>
          <w:rFonts w:cs="Arial"/>
          <w:color w:val="auto"/>
          <w:lang w:eastAsia="en-US"/>
        </w:rPr>
      </w:pPr>
      <w:r w:rsidRPr="00D418F3">
        <w:rPr>
          <w:rFonts w:cs="Arial"/>
          <w:b/>
          <w:color w:val="auto"/>
          <w:lang w:eastAsia="en-US"/>
        </w:rPr>
        <w:t>Other information:</w:t>
      </w:r>
      <w:r w:rsidRPr="00D418F3">
        <w:rPr>
          <w:rFonts w:cs="Arial"/>
          <w:color w:val="auto"/>
          <w:lang w:eastAsia="en-US"/>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D418F3">
        <w:rPr>
          <w:rFonts w:cs="Arial"/>
          <w:b/>
          <w:color w:val="auto"/>
          <w:lang w:eastAsia="en-US"/>
        </w:rPr>
        <w:t>“credit default swaps”</w:t>
      </w:r>
      <w:r w:rsidRPr="00D418F3">
        <w:rPr>
          <w:rFonts w:cs="Arial"/>
          <w:color w:val="auto"/>
          <w:lang w:eastAsia="en-US"/>
        </w:rPr>
        <w:t xml:space="preserve"> and overlay that information on top of the credit ratings. </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17"/>
        </w:numPr>
        <w:spacing w:after="0"/>
        <w:contextualSpacing/>
        <w:rPr>
          <w:rFonts w:cs="Arial"/>
          <w:color w:val="auto"/>
          <w:lang w:eastAsia="en-US"/>
        </w:rPr>
      </w:pPr>
      <w:r w:rsidRPr="00D418F3">
        <w:rPr>
          <w:rFonts w:cs="Arial"/>
          <w:b/>
          <w:color w:val="auto"/>
          <w:lang w:eastAsia="en-US"/>
        </w:rPr>
        <w:t>Other information sources</w:t>
      </w:r>
      <w:r w:rsidRPr="00D418F3">
        <w:rPr>
          <w:rFonts w:cs="Arial"/>
          <w:color w:val="auto"/>
          <w:lang w:eastAsia="en-US"/>
        </w:rPr>
        <w:t xml:space="preserve"> used will include the financial press, share price and other such information pertaining to the banking sector in order to establish the most robust scrutiny process on the suitability of potential investment counterparties.</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17"/>
        </w:numPr>
        <w:spacing w:after="0"/>
        <w:contextualSpacing/>
        <w:rPr>
          <w:rFonts w:cs="Arial"/>
          <w:color w:val="auto"/>
          <w:lang w:eastAsia="en-US"/>
        </w:rPr>
      </w:pPr>
      <w:r w:rsidRPr="00D418F3">
        <w:rPr>
          <w:rFonts w:cs="Arial"/>
          <w:color w:val="auto"/>
          <w:lang w:eastAsia="en-US"/>
        </w:rPr>
        <w:t xml:space="preserve">This authority has defined the list of </w:t>
      </w:r>
      <w:r w:rsidRPr="00D418F3">
        <w:rPr>
          <w:rFonts w:cs="Arial"/>
          <w:b/>
          <w:color w:val="auto"/>
          <w:lang w:eastAsia="en-US"/>
        </w:rPr>
        <w:t>types of investment instruments</w:t>
      </w:r>
      <w:r w:rsidRPr="00D418F3">
        <w:rPr>
          <w:rFonts w:cs="Arial"/>
          <w:color w:val="auto"/>
          <w:lang w:eastAsia="en-US"/>
        </w:rPr>
        <w:t xml:space="preserve"> that the treasury management team are authorised to use. There are two lists in appendix </w:t>
      </w:r>
      <w:r>
        <w:rPr>
          <w:rFonts w:cs="Arial"/>
          <w:color w:val="auto"/>
          <w:lang w:eastAsia="en-US"/>
        </w:rPr>
        <w:t>1</w:t>
      </w:r>
      <w:r w:rsidRPr="00D418F3">
        <w:rPr>
          <w:rFonts w:cs="Arial"/>
          <w:color w:val="auto"/>
          <w:lang w:eastAsia="en-US"/>
        </w:rPr>
        <w:t xml:space="preserve"> under the categories of ‘specified’ and ‘non-specified’ investments. </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1"/>
          <w:numId w:val="18"/>
        </w:numPr>
        <w:spacing w:after="0"/>
        <w:contextualSpacing/>
        <w:rPr>
          <w:rFonts w:cs="Arial"/>
          <w:color w:val="auto"/>
          <w:lang w:eastAsia="en-US"/>
        </w:rPr>
      </w:pPr>
      <w:r w:rsidRPr="00D418F3">
        <w:rPr>
          <w:rFonts w:cs="Arial"/>
          <w:b/>
          <w:color w:val="auto"/>
          <w:lang w:eastAsia="en-US"/>
        </w:rPr>
        <w:t>Specified investments</w:t>
      </w:r>
      <w:r w:rsidRPr="00D418F3">
        <w:rPr>
          <w:rFonts w:cs="Arial"/>
          <w:color w:val="auto"/>
          <w:lang w:eastAsia="en-US"/>
        </w:rPr>
        <w:t xml:space="preserve"> are those with a high level of credit quality and subject to a maturity limit of one year.</w:t>
      </w:r>
    </w:p>
    <w:p w:rsidR="00D418F3" w:rsidRPr="00D418F3" w:rsidRDefault="00D418F3" w:rsidP="0020712A">
      <w:pPr>
        <w:numPr>
          <w:ilvl w:val="1"/>
          <w:numId w:val="18"/>
        </w:numPr>
        <w:spacing w:after="0"/>
        <w:contextualSpacing/>
        <w:rPr>
          <w:rFonts w:cs="Arial"/>
          <w:color w:val="auto"/>
          <w:lang w:eastAsia="en-US"/>
        </w:rPr>
      </w:pPr>
      <w:r w:rsidRPr="00D418F3">
        <w:rPr>
          <w:rFonts w:cs="Arial"/>
          <w:b/>
          <w:color w:val="auto"/>
          <w:lang w:eastAsia="en-US"/>
        </w:rPr>
        <w:t>Non-specified investments</w:t>
      </w:r>
      <w:r w:rsidRPr="00D418F3">
        <w:rPr>
          <w:rFonts w:cs="Arial"/>
          <w:color w:val="auto"/>
          <w:lang w:eastAsia="en-US"/>
        </w:rPr>
        <w:t xml:space="preserve"> are those with less high credit quality, may be for periods in excess of one year, and/or are more complex instruments which require greater consideration by members and officers before being authorised for use.</w:t>
      </w:r>
    </w:p>
    <w:p w:rsid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As a result of the change in accounting standards for 2018/19 under IFRS 9, th</w:t>
      </w:r>
      <w:r>
        <w:rPr>
          <w:rFonts w:cs="Arial"/>
          <w:color w:val="auto"/>
          <w:lang w:eastAsia="en-US"/>
        </w:rPr>
        <w:t>e Council</w:t>
      </w:r>
      <w:r w:rsidRPr="00D418F3">
        <w:rPr>
          <w:rFonts w:cs="Arial"/>
          <w:color w:val="auto"/>
          <w:lang w:eastAsia="en-US"/>
        </w:rPr>
        <w:t xml:space="preserve"> will consider the implications of investment instruments which could result in an adverse movement in the value of the amount invested and resultant charges at the end of the year to the General Fund. </w:t>
      </w:r>
      <w:r>
        <w:rPr>
          <w:rFonts w:cs="Arial"/>
          <w:color w:val="auto"/>
          <w:lang w:eastAsia="en-US"/>
        </w:rPr>
        <w:t xml:space="preserve"> </w:t>
      </w:r>
      <w:r w:rsidRPr="00D418F3">
        <w:rPr>
          <w:rFonts w:cs="Arial"/>
          <w:color w:val="auto"/>
          <w:lang w:eastAsia="en-US"/>
        </w:rPr>
        <w:t>In November 2018, the Ministry of Housing, Com</w:t>
      </w:r>
      <w:r>
        <w:rPr>
          <w:rFonts w:cs="Arial"/>
          <w:color w:val="auto"/>
          <w:lang w:eastAsia="en-US"/>
        </w:rPr>
        <w:t>munities and Local Government</w:t>
      </w:r>
      <w:r w:rsidRPr="00D418F3">
        <w:rPr>
          <w:rFonts w:cs="Arial"/>
          <w:color w:val="auto"/>
          <w:lang w:eastAsia="en-US"/>
        </w:rPr>
        <w:t xml:space="preserve"> concluded a consultation for a temporary override to allow English local authorities time to adjust their portfolio of all pooled investments by announcing a statutory override to delay implementation of IFRS 9 for five years commencing from 1</w:t>
      </w:r>
      <w:r w:rsidRPr="00D418F3">
        <w:rPr>
          <w:rFonts w:cs="Arial"/>
          <w:color w:val="auto"/>
          <w:vertAlign w:val="superscript"/>
          <w:lang w:eastAsia="en-US"/>
        </w:rPr>
        <w:t>st</w:t>
      </w:r>
      <w:r>
        <w:rPr>
          <w:rFonts w:cs="Arial"/>
          <w:color w:val="auto"/>
          <w:lang w:eastAsia="en-US"/>
        </w:rPr>
        <w:t xml:space="preserve"> April 2018.</w:t>
      </w:r>
    </w:p>
    <w:p w:rsidR="00D71D8D" w:rsidRPr="004A3128" w:rsidRDefault="00D71D8D" w:rsidP="004A3128">
      <w:pPr>
        <w:pStyle w:val="Heading1"/>
      </w:pPr>
      <w:r w:rsidRPr="004A3128">
        <w:t>Interest rates</w:t>
      </w:r>
    </w:p>
    <w:p w:rsidR="00D71D8D" w:rsidRPr="00D71D8D" w:rsidRDefault="00D71D8D" w:rsidP="001A297A">
      <w:pPr>
        <w:numPr>
          <w:ilvl w:val="0"/>
          <w:numId w:val="6"/>
        </w:numPr>
        <w:spacing w:after="0"/>
        <w:contextualSpacing/>
        <w:rPr>
          <w:rFonts w:cs="Arial"/>
          <w:color w:val="auto"/>
          <w:lang w:eastAsia="en-US"/>
        </w:rPr>
      </w:pPr>
      <w:r w:rsidRPr="00D71D8D">
        <w:rPr>
          <w:rFonts w:cs="Arial"/>
          <w:color w:val="auto"/>
          <w:lang w:eastAsia="en-US"/>
        </w:rPr>
        <w:t xml:space="preserve">Average cash balances for the year to </w:t>
      </w:r>
      <w:r w:rsidRPr="001A297A">
        <w:rPr>
          <w:rFonts w:cs="Arial"/>
          <w:color w:val="auto"/>
          <w:lang w:eastAsia="en-US"/>
        </w:rPr>
        <w:t>3</w:t>
      </w:r>
      <w:r w:rsidR="00AA77C5" w:rsidRPr="001A297A">
        <w:rPr>
          <w:rFonts w:cs="Arial"/>
          <w:color w:val="auto"/>
          <w:lang w:eastAsia="en-US"/>
        </w:rPr>
        <w:t>1</w:t>
      </w:r>
      <w:r w:rsidR="00AA77C5" w:rsidRPr="001A297A">
        <w:rPr>
          <w:rFonts w:cs="Arial"/>
          <w:color w:val="auto"/>
          <w:vertAlign w:val="superscript"/>
          <w:lang w:eastAsia="en-US"/>
        </w:rPr>
        <w:t>st</w:t>
      </w:r>
      <w:r w:rsidR="00AA77C5" w:rsidRPr="001A297A">
        <w:rPr>
          <w:rFonts w:cs="Arial"/>
          <w:color w:val="auto"/>
          <w:lang w:eastAsia="en-US"/>
        </w:rPr>
        <w:t xml:space="preserve"> December</w:t>
      </w:r>
      <w:r w:rsidRPr="001A297A">
        <w:rPr>
          <w:rFonts w:cs="Arial"/>
          <w:color w:val="auto"/>
          <w:lang w:eastAsia="en-US"/>
        </w:rPr>
        <w:t xml:space="preserve"> 201</w:t>
      </w:r>
      <w:r w:rsidR="009E7959" w:rsidRPr="001A297A">
        <w:rPr>
          <w:rFonts w:cs="Arial"/>
          <w:color w:val="auto"/>
          <w:lang w:eastAsia="en-US"/>
        </w:rPr>
        <w:t>8</w:t>
      </w:r>
      <w:r w:rsidR="000A41E7" w:rsidRPr="001A297A">
        <w:rPr>
          <w:rFonts w:cs="Arial"/>
          <w:color w:val="auto"/>
          <w:lang w:eastAsia="en-US"/>
        </w:rPr>
        <w:t xml:space="preserve"> were </w:t>
      </w:r>
      <w:r w:rsidR="00BB74A3" w:rsidRPr="001A297A">
        <w:rPr>
          <w:rFonts w:cs="Arial"/>
          <w:color w:val="auto"/>
          <w:lang w:eastAsia="en-US"/>
        </w:rPr>
        <w:t>£</w:t>
      </w:r>
      <w:r w:rsidR="009E7959" w:rsidRPr="001A297A">
        <w:rPr>
          <w:rFonts w:cs="Arial"/>
          <w:color w:val="auto"/>
          <w:lang w:eastAsia="en-US"/>
        </w:rPr>
        <w:t>10</w:t>
      </w:r>
      <w:r w:rsidR="001A297A" w:rsidRPr="001A297A">
        <w:rPr>
          <w:rFonts w:cs="Arial"/>
          <w:color w:val="auto"/>
          <w:lang w:eastAsia="en-US"/>
        </w:rPr>
        <w:t>2</w:t>
      </w:r>
      <w:r w:rsidR="009E7959" w:rsidRPr="001A297A">
        <w:rPr>
          <w:rFonts w:cs="Arial"/>
          <w:color w:val="auto"/>
          <w:lang w:eastAsia="en-US"/>
        </w:rPr>
        <w:t>.2</w:t>
      </w:r>
      <w:r w:rsidR="00BB74A3" w:rsidRPr="001A297A">
        <w:rPr>
          <w:rFonts w:cs="Arial"/>
          <w:color w:val="auto"/>
          <w:lang w:eastAsia="en-US"/>
        </w:rPr>
        <w:t>m</w:t>
      </w:r>
      <w:r w:rsidR="00BB74A3">
        <w:rPr>
          <w:rFonts w:cs="Arial"/>
          <w:color w:val="auto"/>
          <w:lang w:eastAsia="en-US"/>
        </w:rPr>
        <w:t>,</w:t>
      </w:r>
      <w:r w:rsidR="00BB74A3" w:rsidRPr="00BB74A3">
        <w:rPr>
          <w:rFonts w:cs="Arial"/>
          <w:color w:val="auto"/>
          <w:lang w:eastAsia="en-US"/>
        </w:rPr>
        <w:t xml:space="preserve"> </w:t>
      </w:r>
      <w:r w:rsidRPr="00D71D8D">
        <w:rPr>
          <w:rFonts w:cs="Arial"/>
          <w:color w:val="auto"/>
          <w:lang w:eastAsia="en-US"/>
        </w:rPr>
        <w:t xml:space="preserve">having fluctuated between </w:t>
      </w:r>
      <w:r w:rsidR="00BB74A3" w:rsidRPr="00BB74A3">
        <w:rPr>
          <w:rFonts w:cs="Arial"/>
          <w:color w:val="auto"/>
          <w:lang w:eastAsia="en-US"/>
        </w:rPr>
        <w:t>£</w:t>
      </w:r>
      <w:r w:rsidR="001A297A" w:rsidRPr="001A297A">
        <w:rPr>
          <w:rFonts w:cs="Arial"/>
          <w:color w:val="auto"/>
          <w:lang w:eastAsia="en-US"/>
        </w:rPr>
        <w:t>£78.5m and £120.0m</w:t>
      </w:r>
      <w:r w:rsidRPr="00D71D8D">
        <w:rPr>
          <w:rFonts w:cs="Arial"/>
          <w:color w:val="auto"/>
          <w:lang w:eastAsia="en-US"/>
        </w:rPr>
        <w:t>.</w:t>
      </w:r>
    </w:p>
    <w:p w:rsidR="00D71D8D" w:rsidRPr="00D71D8D" w:rsidRDefault="00D71D8D" w:rsidP="00D71D8D">
      <w:pPr>
        <w:spacing w:after="0"/>
        <w:ind w:left="720"/>
        <w:contextualSpacing/>
        <w:rPr>
          <w:rFonts w:cs="Arial"/>
          <w:color w:val="auto"/>
          <w:lang w:eastAsia="en-US"/>
        </w:rPr>
      </w:pPr>
    </w:p>
    <w:p w:rsidR="00D71D8D" w:rsidRDefault="0062055D" w:rsidP="0020712A">
      <w:pPr>
        <w:numPr>
          <w:ilvl w:val="0"/>
          <w:numId w:val="6"/>
        </w:numPr>
        <w:spacing w:after="0"/>
        <w:contextualSpacing/>
        <w:rPr>
          <w:rFonts w:cs="Arial"/>
          <w:color w:val="auto"/>
          <w:lang w:eastAsia="en-US"/>
        </w:rPr>
      </w:pPr>
      <w:r w:rsidRPr="000A41E7">
        <w:rPr>
          <w:rFonts w:cs="Arial"/>
          <w:color w:val="auto"/>
          <w:lang w:eastAsia="en-US"/>
        </w:rPr>
        <w:t xml:space="preserve">In </w:t>
      </w:r>
      <w:r w:rsidR="009E7959">
        <w:rPr>
          <w:rFonts w:cs="Arial"/>
          <w:color w:val="auto"/>
          <w:lang w:eastAsia="en-US"/>
        </w:rPr>
        <w:t>August 2018</w:t>
      </w:r>
      <w:r w:rsidRPr="000A41E7">
        <w:rPr>
          <w:rFonts w:cs="Arial"/>
          <w:color w:val="auto"/>
          <w:lang w:eastAsia="en-US"/>
        </w:rPr>
        <w:t xml:space="preserve">, base rate </w:t>
      </w:r>
      <w:r w:rsidR="001250F2">
        <w:rPr>
          <w:rFonts w:cs="Arial"/>
          <w:color w:val="auto"/>
          <w:lang w:eastAsia="en-US"/>
        </w:rPr>
        <w:t>increased</w:t>
      </w:r>
      <w:r w:rsidRPr="000A41E7">
        <w:rPr>
          <w:rFonts w:cs="Arial"/>
          <w:color w:val="auto"/>
          <w:lang w:eastAsia="en-US"/>
        </w:rPr>
        <w:t xml:space="preserve"> to 0.</w:t>
      </w:r>
      <w:r w:rsidR="009E7959">
        <w:rPr>
          <w:rFonts w:cs="Arial"/>
          <w:color w:val="auto"/>
          <w:lang w:eastAsia="en-US"/>
        </w:rPr>
        <w:t>7</w:t>
      </w:r>
      <w:r w:rsidRPr="000A41E7">
        <w:rPr>
          <w:rFonts w:cs="Arial"/>
          <w:color w:val="auto"/>
          <w:lang w:eastAsia="en-US"/>
        </w:rPr>
        <w:t>5% from 0.5</w:t>
      </w:r>
      <w:r w:rsidR="009E7959">
        <w:rPr>
          <w:rFonts w:cs="Arial"/>
          <w:color w:val="auto"/>
          <w:lang w:eastAsia="en-US"/>
        </w:rPr>
        <w:t>0</w:t>
      </w:r>
      <w:r w:rsidRPr="000A41E7">
        <w:rPr>
          <w:rFonts w:cs="Arial"/>
          <w:color w:val="auto"/>
          <w:lang w:eastAsia="en-US"/>
        </w:rPr>
        <w:t xml:space="preserve">% </w:t>
      </w:r>
      <w:r w:rsidR="009E7959">
        <w:rPr>
          <w:rFonts w:cs="Arial"/>
          <w:color w:val="auto"/>
          <w:lang w:eastAsia="en-US"/>
        </w:rPr>
        <w:t>following a previous rise in November 2017</w:t>
      </w:r>
      <w:r w:rsidRPr="000A41E7">
        <w:rPr>
          <w:rFonts w:cs="Arial"/>
          <w:color w:val="auto"/>
          <w:lang w:eastAsia="en-US"/>
        </w:rPr>
        <w:t>.</w:t>
      </w:r>
      <w:r w:rsidR="00D71D8D" w:rsidRPr="000A41E7">
        <w:rPr>
          <w:rFonts w:cs="Arial"/>
          <w:color w:val="auto"/>
          <w:lang w:eastAsia="en-US"/>
        </w:rPr>
        <w:t xml:space="preserve"> </w:t>
      </w:r>
      <w:r w:rsidR="00125561">
        <w:rPr>
          <w:rFonts w:cs="Arial"/>
          <w:color w:val="auto"/>
          <w:lang w:eastAsia="en-US"/>
        </w:rPr>
        <w:t>The Council’s target average interest rate return is 0.6% above base rate</w:t>
      </w:r>
      <w:r w:rsidR="00A21474">
        <w:rPr>
          <w:rFonts w:cs="Arial"/>
          <w:color w:val="auto"/>
          <w:lang w:eastAsia="en-US"/>
        </w:rPr>
        <w:t xml:space="preserve">.  </w:t>
      </w:r>
      <w:r w:rsidR="00A21474" w:rsidRPr="00A21474">
        <w:rPr>
          <w:rFonts w:cs="Arial"/>
          <w:color w:val="auto"/>
          <w:lang w:eastAsia="en-US"/>
        </w:rPr>
        <w:t>Investment returns are likely to remain low during 2019/20 but to be on a gently rising trend over the next few years.</w:t>
      </w:r>
    </w:p>
    <w:p w:rsidR="0020712A" w:rsidRDefault="0020712A" w:rsidP="0020712A">
      <w:pPr>
        <w:spacing w:after="0"/>
        <w:ind w:left="360"/>
        <w:contextualSpacing/>
        <w:rPr>
          <w:rFonts w:cs="Arial"/>
          <w:color w:val="auto"/>
          <w:lang w:eastAsia="en-US"/>
        </w:rPr>
      </w:pPr>
    </w:p>
    <w:p w:rsidR="0020712A" w:rsidRPr="00220389" w:rsidRDefault="0020712A" w:rsidP="0020712A">
      <w:pPr>
        <w:numPr>
          <w:ilvl w:val="0"/>
          <w:numId w:val="6"/>
        </w:numPr>
        <w:spacing w:after="0"/>
        <w:contextualSpacing/>
        <w:rPr>
          <w:rFonts w:cs="Arial"/>
          <w:color w:val="auto"/>
          <w:lang w:eastAsia="en-US"/>
        </w:rPr>
      </w:pPr>
      <w:r w:rsidRPr="0020712A">
        <w:rPr>
          <w:rFonts w:cs="Arial"/>
          <w:color w:val="auto"/>
          <w:lang w:eastAsia="en-US"/>
        </w:rPr>
        <w:t>In the event of an orderly non-agreement exit</w:t>
      </w:r>
      <w:r>
        <w:rPr>
          <w:rFonts w:cs="Arial"/>
          <w:color w:val="auto"/>
          <w:lang w:eastAsia="en-US"/>
        </w:rPr>
        <w:t xml:space="preserve"> from the EU</w:t>
      </w:r>
      <w:r w:rsidRPr="0020712A">
        <w:rPr>
          <w:rFonts w:cs="Arial"/>
          <w:color w:val="auto"/>
          <w:lang w:eastAsia="en-US"/>
        </w:rPr>
        <w:t>, it is likely that the Bank of England would take action to cut Bank Rate from 0.75% in order to help economic growth deal with the adverse effects of this situation. This is also likely to cause short to medium term gilt yields to fall. If there was a disorderly exit, then any cut in Bank Rate would be likely to last for a longer period and also depress short and medium gilt yields correspondingly. It is also possible that the government could act to protect economic growth by implementing fiscal stimulus.</w:t>
      </w:r>
    </w:p>
    <w:p w:rsidR="0020712A" w:rsidRPr="004A3128" w:rsidRDefault="0020712A" w:rsidP="0020712A">
      <w:pPr>
        <w:pStyle w:val="Heading1"/>
      </w:pPr>
      <w:r>
        <w:t>Investment Durations</w:t>
      </w:r>
    </w:p>
    <w:p w:rsidR="00D71D8D" w:rsidRDefault="0062055D" w:rsidP="0020712A">
      <w:pPr>
        <w:numPr>
          <w:ilvl w:val="0"/>
          <w:numId w:val="6"/>
        </w:numPr>
        <w:spacing w:after="0"/>
        <w:contextualSpacing/>
        <w:rPr>
          <w:rFonts w:cs="Arial"/>
          <w:color w:val="auto"/>
          <w:lang w:eastAsia="en-US"/>
        </w:rPr>
      </w:pPr>
      <w:r w:rsidRPr="005D4197">
        <w:rPr>
          <w:rFonts w:cs="Arial"/>
          <w:color w:val="auto"/>
          <w:lang w:eastAsia="en-US"/>
        </w:rPr>
        <w:t>As with the previous financial year, m</w:t>
      </w:r>
      <w:r w:rsidR="00D71D8D" w:rsidRPr="005D4197">
        <w:rPr>
          <w:rFonts w:cs="Arial"/>
          <w:color w:val="auto"/>
          <w:lang w:eastAsia="en-US"/>
        </w:rPr>
        <w:t>ost existing investmen</w:t>
      </w:r>
      <w:r w:rsidRPr="005D4197">
        <w:rPr>
          <w:rFonts w:cs="Arial"/>
          <w:color w:val="auto"/>
          <w:lang w:eastAsia="en-US"/>
        </w:rPr>
        <w:t>t deal terms are for 6 months</w:t>
      </w:r>
      <w:r w:rsidR="005D4197" w:rsidRPr="005D4197">
        <w:rPr>
          <w:rFonts w:cs="Arial"/>
          <w:color w:val="auto"/>
          <w:lang w:eastAsia="en-US"/>
        </w:rPr>
        <w:t>. However, the Council does have some longer-term investments up to one year and durations of future loans are likely to increase in line with the criteria set out by the Council’s Treasury advisers</w:t>
      </w:r>
      <w:r w:rsidR="00D71D8D" w:rsidRPr="005D4197">
        <w:rPr>
          <w:rFonts w:cs="Arial"/>
          <w:color w:val="auto"/>
          <w:lang w:eastAsia="en-US"/>
        </w:rPr>
        <w:t xml:space="preserve">. </w:t>
      </w:r>
    </w:p>
    <w:p w:rsidR="00220389" w:rsidRDefault="00220389" w:rsidP="002B0E44">
      <w:pPr>
        <w:pStyle w:val="ListParagraph"/>
        <w:numPr>
          <w:ilvl w:val="0"/>
          <w:numId w:val="0"/>
        </w:numPr>
        <w:ind w:left="426"/>
        <w:rPr>
          <w:rFonts w:cs="Arial"/>
          <w:color w:val="auto"/>
          <w:lang w:eastAsia="en-US"/>
        </w:rPr>
      </w:pPr>
    </w:p>
    <w:p w:rsidR="00220389" w:rsidRDefault="00220389" w:rsidP="0020712A">
      <w:pPr>
        <w:numPr>
          <w:ilvl w:val="0"/>
          <w:numId w:val="6"/>
        </w:numPr>
        <w:spacing w:after="0"/>
        <w:contextualSpacing/>
        <w:rPr>
          <w:rFonts w:cs="Arial"/>
          <w:color w:val="auto"/>
          <w:lang w:eastAsia="en-US"/>
        </w:rPr>
      </w:pPr>
      <w:r w:rsidRPr="00220389">
        <w:rPr>
          <w:rFonts w:cs="Arial"/>
          <w:color w:val="auto"/>
          <w:lang w:eastAsia="en-US"/>
        </w:rPr>
        <w:t xml:space="preserve">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w:t>
      </w:r>
      <w:r w:rsidRPr="00220389">
        <w:rPr>
          <w:rFonts w:cs="Arial"/>
          <w:color w:val="auto"/>
          <w:lang w:eastAsia="en-US"/>
        </w:rPr>
        <w:lastRenderedPageBreak/>
        <w:t>achieve the optimum rate of return on its investments commensurate with proper levels of security and liquidity.</w:t>
      </w:r>
    </w:p>
    <w:p w:rsidR="0020712A" w:rsidRPr="004A3128" w:rsidRDefault="0020712A" w:rsidP="0020712A">
      <w:pPr>
        <w:pStyle w:val="Heading1"/>
      </w:pPr>
      <w:r w:rsidRPr="0020712A">
        <w:t>Creditworthiness</w:t>
      </w:r>
    </w:p>
    <w:p w:rsid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Investment instruments identified for use are listed in Appendix 1 under the </w:t>
      </w:r>
      <w:r w:rsidR="00F20597">
        <w:rPr>
          <w:rFonts w:cs="Arial"/>
          <w:color w:val="auto"/>
          <w:lang w:eastAsia="en-US"/>
        </w:rPr>
        <w:t>S</w:t>
      </w:r>
      <w:r w:rsidRPr="00D71D8D">
        <w:rPr>
          <w:rFonts w:cs="Arial"/>
          <w:color w:val="auto"/>
          <w:lang w:eastAsia="en-US"/>
        </w:rPr>
        <w:t xml:space="preserve">pecified and </w:t>
      </w:r>
      <w:r w:rsidR="00F20597">
        <w:rPr>
          <w:rFonts w:cs="Arial"/>
          <w:color w:val="auto"/>
          <w:lang w:eastAsia="en-US"/>
        </w:rPr>
        <w:t>N</w:t>
      </w:r>
      <w:r w:rsidRPr="00D71D8D">
        <w:rPr>
          <w:rFonts w:cs="Arial"/>
          <w:color w:val="auto"/>
          <w:lang w:eastAsia="en-US"/>
        </w:rPr>
        <w:t>on-specified investment categories.  Counterparty limits are set in accordance with the Council’s Treasury Management Practices (TMPs).</w:t>
      </w:r>
    </w:p>
    <w:p w:rsidR="0020712A" w:rsidRPr="00D71D8D" w:rsidRDefault="0020712A" w:rsidP="0020712A">
      <w:pPr>
        <w:spacing w:after="0"/>
        <w:ind w:left="36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 utilises the creditworthiness services provided by </w:t>
      </w:r>
      <w:r w:rsidR="005D4197">
        <w:rPr>
          <w:rFonts w:cs="Arial"/>
          <w:color w:val="auto"/>
          <w:lang w:eastAsia="en-US"/>
        </w:rPr>
        <w:t>Link</w:t>
      </w:r>
      <w:r w:rsidRPr="00D71D8D">
        <w:rPr>
          <w:rFonts w:cs="Arial"/>
          <w:color w:val="auto"/>
          <w:lang w:eastAsia="en-US"/>
        </w:rPr>
        <w:t xml:space="preserve"> Asset Services.  The model combines the credit ratings, credit watches and credit outlooks provided by the credit rating agencies - Fitch, Moody’s and Standard and Poor’s in a weighted scoring system which is then combined with an overlay of Credit Default Swap</w:t>
      </w:r>
      <w:r w:rsidRPr="00D71D8D">
        <w:rPr>
          <w:rFonts w:cs="Arial"/>
          <w:color w:val="auto"/>
          <w:vertAlign w:val="superscript"/>
          <w:lang w:eastAsia="en-US"/>
        </w:rPr>
        <w:footnoteReference w:id="3"/>
      </w:r>
      <w:r w:rsidRPr="00D71D8D">
        <w:rPr>
          <w:rFonts w:cs="Arial"/>
          <w:color w:val="auto"/>
          <w:lang w:eastAsia="en-US"/>
        </w:rPr>
        <w:t xml:space="preserve"> (CDS) spreads and sovereign ratings</w:t>
      </w:r>
      <w:r w:rsidR="001250F2">
        <w:rPr>
          <w:rFonts w:cs="Arial"/>
          <w:color w:val="auto"/>
          <w:lang w:eastAsia="en-US"/>
        </w:rPr>
        <w:t>.  T</w:t>
      </w:r>
      <w:r w:rsidRPr="00D71D8D">
        <w:rPr>
          <w:rFonts w:cs="Arial"/>
          <w:color w:val="auto"/>
          <w:lang w:eastAsia="en-US"/>
        </w:rPr>
        <w:t xml:space="preserve">he end product is a series of colour coded bands which indicate the relative creditworthiness of counterparties.  These colour codes are used by the Council to determine the duration of investments.  </w:t>
      </w:r>
    </w:p>
    <w:p w:rsidR="00D71D8D" w:rsidRPr="00D71D8D" w:rsidRDefault="00D71D8D" w:rsidP="00D71D8D">
      <w:pPr>
        <w:spacing w:after="0"/>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 is alerted to changes to ratings  by </w:t>
      </w:r>
      <w:r w:rsidR="00BB74A3" w:rsidRPr="00BB74A3">
        <w:rPr>
          <w:rFonts w:cs="Arial"/>
          <w:color w:val="auto"/>
          <w:lang w:eastAsia="en-US"/>
        </w:rPr>
        <w:t>Link Asset Services</w:t>
      </w:r>
      <w:r w:rsidRPr="00D71D8D">
        <w:rPr>
          <w:rFonts w:cs="Arial"/>
          <w:color w:val="auto"/>
          <w:lang w:eastAsia="en-US"/>
        </w:rPr>
        <w:t>’ creditworthiness service and takes the following action in respect of update</w:t>
      </w:r>
      <w:r w:rsidR="001250F2">
        <w:rPr>
          <w:rFonts w:cs="Arial"/>
          <w:color w:val="auto"/>
          <w:lang w:eastAsia="en-US"/>
        </w:rPr>
        <w:t>s</w:t>
      </w:r>
      <w:r w:rsidRPr="00D71D8D">
        <w:rPr>
          <w:rFonts w:cs="Arial"/>
          <w:color w:val="auto"/>
          <w:lang w:eastAsia="en-US"/>
        </w:rPr>
        <w:t>:</w:t>
      </w:r>
    </w:p>
    <w:p w:rsidR="00D71D8D" w:rsidRPr="00D71D8D" w:rsidRDefault="00D71D8D" w:rsidP="0020712A">
      <w:pPr>
        <w:numPr>
          <w:ilvl w:val="0"/>
          <w:numId w:val="8"/>
        </w:numPr>
        <w:spacing w:after="0"/>
        <w:contextualSpacing/>
        <w:rPr>
          <w:rFonts w:cs="Arial"/>
          <w:color w:val="auto"/>
          <w:lang w:eastAsia="en-US"/>
        </w:rPr>
      </w:pPr>
      <w:r w:rsidRPr="00D71D8D">
        <w:rPr>
          <w:rFonts w:cs="Arial"/>
          <w:color w:val="auto"/>
          <w:lang w:eastAsia="en-US"/>
        </w:rPr>
        <w:t>If a downgrade results in the counterparty/investment scheme no longer meeting the Council’s minimum criteria, it is withdrawn immediately from further use</w:t>
      </w:r>
      <w:r w:rsidR="001250F2">
        <w:rPr>
          <w:rFonts w:cs="Arial"/>
          <w:color w:val="auto"/>
          <w:lang w:eastAsia="en-US"/>
        </w:rPr>
        <w:t>.</w:t>
      </w:r>
    </w:p>
    <w:p w:rsidR="00D71D8D" w:rsidRPr="00D71D8D" w:rsidRDefault="00D71D8D" w:rsidP="0020712A">
      <w:pPr>
        <w:numPr>
          <w:ilvl w:val="0"/>
          <w:numId w:val="8"/>
        </w:numPr>
        <w:spacing w:after="0"/>
        <w:contextualSpacing/>
        <w:rPr>
          <w:rFonts w:cs="Arial"/>
          <w:color w:val="auto"/>
          <w:lang w:eastAsia="en-US"/>
        </w:rPr>
      </w:pPr>
      <w:r w:rsidRPr="00D71D8D">
        <w:rPr>
          <w:rFonts w:cs="Arial"/>
          <w:color w:val="auto"/>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As part of the creditworthiness methodology a minimum sovereign rating of AA- from Fitch (or equivalent from other agencies if Fitch does not provide</w:t>
      </w:r>
      <w:r w:rsidR="00BB74A3">
        <w:rPr>
          <w:rFonts w:cs="Arial"/>
          <w:color w:val="auto"/>
          <w:lang w:eastAsia="en-US"/>
        </w:rPr>
        <w:t xml:space="preserve"> one) has been determined.</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 addition to the recommendations from </w:t>
      </w:r>
      <w:r w:rsidR="005D4197">
        <w:rPr>
          <w:rFonts w:cs="Arial"/>
          <w:color w:val="auto"/>
          <w:lang w:eastAsia="en-US"/>
        </w:rPr>
        <w:t>Link</w:t>
      </w:r>
      <w:r w:rsidRPr="00D71D8D">
        <w:rPr>
          <w:rFonts w:cs="Arial"/>
          <w:color w:val="auto"/>
          <w:lang w:eastAsia="en-US"/>
        </w:rPr>
        <w:t xml:space="preserve"> Asset Services, the S151 Officer and Treasury Management Team have agreed to limit the amounts invested with any one country (excluding the UK) or sector as follows:</w:t>
      </w:r>
    </w:p>
    <w:p w:rsidR="00D71D8D" w:rsidRPr="00D71D8D" w:rsidRDefault="00D71D8D" w:rsidP="0020712A">
      <w:pPr>
        <w:numPr>
          <w:ilvl w:val="0"/>
          <w:numId w:val="11"/>
        </w:numPr>
        <w:spacing w:after="0"/>
        <w:ind w:left="1418"/>
        <w:contextualSpacing/>
        <w:rPr>
          <w:rFonts w:cs="Arial"/>
          <w:color w:val="auto"/>
          <w:lang w:eastAsia="en-US"/>
        </w:rPr>
      </w:pPr>
      <w:r w:rsidRPr="00D71D8D">
        <w:rPr>
          <w:rFonts w:cs="Arial"/>
          <w:color w:val="auto"/>
          <w:lang w:eastAsia="en-US"/>
        </w:rPr>
        <w:t xml:space="preserve">No more than 20% of the previous year’s average investment balance </w:t>
      </w:r>
      <w:r w:rsidR="00BB74A3">
        <w:rPr>
          <w:rFonts w:cs="Arial"/>
          <w:color w:val="auto"/>
          <w:lang w:eastAsia="en-US"/>
        </w:rPr>
        <w:t>(to 31</w:t>
      </w:r>
      <w:r w:rsidR="00BB74A3" w:rsidRPr="00BB74A3">
        <w:rPr>
          <w:rFonts w:cs="Arial"/>
          <w:color w:val="auto"/>
          <w:vertAlign w:val="superscript"/>
          <w:lang w:eastAsia="en-US"/>
        </w:rPr>
        <w:t>st</w:t>
      </w:r>
      <w:r w:rsidR="00BB74A3">
        <w:rPr>
          <w:rFonts w:cs="Arial"/>
          <w:color w:val="auto"/>
          <w:lang w:eastAsia="en-US"/>
        </w:rPr>
        <w:t xml:space="preserve"> December) </w:t>
      </w:r>
      <w:r w:rsidRPr="00D71D8D">
        <w:rPr>
          <w:rFonts w:cs="Arial"/>
          <w:color w:val="auto"/>
          <w:lang w:eastAsia="en-US"/>
        </w:rPr>
        <w:t>with any one counterparty or group or £15</w:t>
      </w:r>
      <w:r w:rsidR="00BB74A3">
        <w:rPr>
          <w:rFonts w:cs="Arial"/>
          <w:color w:val="auto"/>
          <w:lang w:eastAsia="en-US"/>
        </w:rPr>
        <w:t xml:space="preserve"> </w:t>
      </w:r>
      <w:r w:rsidRPr="00D71D8D">
        <w:rPr>
          <w:rFonts w:cs="Arial"/>
          <w:color w:val="auto"/>
          <w:lang w:eastAsia="en-US"/>
        </w:rPr>
        <w:t>m</w:t>
      </w:r>
      <w:r w:rsidR="00BB74A3">
        <w:rPr>
          <w:rFonts w:cs="Arial"/>
          <w:color w:val="auto"/>
          <w:lang w:eastAsia="en-US"/>
        </w:rPr>
        <w:t>illion</w:t>
      </w:r>
      <w:r w:rsidRPr="00D71D8D">
        <w:rPr>
          <w:rFonts w:cs="Arial"/>
          <w:color w:val="auto"/>
          <w:lang w:eastAsia="en-US"/>
        </w:rPr>
        <w:t>, whichever is the greater</w:t>
      </w:r>
    </w:p>
    <w:p w:rsidR="00D71D8D" w:rsidRPr="00D71D8D" w:rsidRDefault="00D71D8D" w:rsidP="0020712A">
      <w:pPr>
        <w:numPr>
          <w:ilvl w:val="0"/>
          <w:numId w:val="11"/>
        </w:numPr>
        <w:spacing w:after="0"/>
        <w:ind w:left="1418"/>
        <w:contextualSpacing/>
        <w:rPr>
          <w:rFonts w:cs="Arial"/>
          <w:color w:val="auto"/>
          <w:lang w:eastAsia="en-US"/>
        </w:rPr>
      </w:pPr>
      <w:r w:rsidRPr="00D71D8D">
        <w:rPr>
          <w:rFonts w:cs="Arial"/>
          <w:color w:val="auto"/>
          <w:lang w:eastAsia="en-US"/>
        </w:rPr>
        <w:t>Maximum of 10% of total investments to be with institutions in other countries that meet the required criteria.</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lastRenderedPageBreak/>
        <w:t xml:space="preserve">The Investment Strategy provides delegated authority for the S151 Officer to determine the most appropriate form of investment dependant on prevailing interest rates and </w:t>
      </w:r>
      <w:proofErr w:type="gramStart"/>
      <w:r w:rsidRPr="00D71D8D">
        <w:rPr>
          <w:rFonts w:cs="Arial"/>
          <w:color w:val="auto"/>
          <w:lang w:eastAsia="en-US"/>
        </w:rPr>
        <w:t>counterparty</w:t>
      </w:r>
      <w:proofErr w:type="gramEnd"/>
      <w:r w:rsidRPr="00D71D8D">
        <w:rPr>
          <w:rFonts w:cs="Arial"/>
          <w:color w:val="auto"/>
          <w:lang w:eastAsia="en-US"/>
        </w:rPr>
        <w:t xml:space="preserve"> risk at the time.</w:t>
      </w:r>
    </w:p>
    <w:p w:rsidR="00D71D8D" w:rsidRPr="00010297" w:rsidRDefault="00D71D8D" w:rsidP="00010297">
      <w:pPr>
        <w:pStyle w:val="Heading1"/>
      </w:pPr>
      <w:r w:rsidRPr="00010297">
        <w:t>Specified and Non-Specified investments</w:t>
      </w:r>
    </w:p>
    <w:p w:rsidR="00D71D8D" w:rsidRPr="001A297A"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 approving the Investment Strategy, Members are approving the types of investments the Council can undertake.  Investments are classified as either </w:t>
      </w:r>
      <w:r w:rsidR="001250F2">
        <w:rPr>
          <w:rFonts w:cs="Arial"/>
          <w:color w:val="auto"/>
          <w:lang w:eastAsia="en-US"/>
        </w:rPr>
        <w:t>S</w:t>
      </w:r>
      <w:r w:rsidRPr="00D71D8D">
        <w:rPr>
          <w:rFonts w:cs="Arial"/>
          <w:color w:val="auto"/>
          <w:lang w:eastAsia="en-US"/>
        </w:rPr>
        <w:t xml:space="preserve">pecified or </w:t>
      </w:r>
      <w:r w:rsidR="001250F2">
        <w:rPr>
          <w:rFonts w:cs="Arial"/>
          <w:color w:val="auto"/>
          <w:lang w:eastAsia="en-US"/>
        </w:rPr>
        <w:t>N</w:t>
      </w:r>
      <w:r w:rsidRPr="00D71D8D">
        <w:rPr>
          <w:rFonts w:cs="Arial"/>
          <w:color w:val="auto"/>
          <w:lang w:eastAsia="en-US"/>
        </w:rPr>
        <w:t xml:space="preserve">on-specified and are shown in more </w:t>
      </w:r>
      <w:r w:rsidRPr="001A297A">
        <w:rPr>
          <w:rFonts w:cs="Arial"/>
          <w:color w:val="auto"/>
          <w:lang w:eastAsia="en-US"/>
        </w:rPr>
        <w:t>detail in Appendix 1.</w:t>
      </w:r>
    </w:p>
    <w:p w:rsidR="00D71D8D" w:rsidRPr="00D71D8D" w:rsidRDefault="00D71D8D" w:rsidP="00D71D8D">
      <w:pPr>
        <w:spacing w:after="0"/>
        <w:ind w:left="720"/>
        <w:contextualSpacing/>
        <w:rPr>
          <w:rFonts w:cs="Arial"/>
          <w:color w:val="auto"/>
          <w:lang w:eastAsia="en-US"/>
        </w:rPr>
      </w:pPr>
    </w:p>
    <w:p w:rsidR="00D71D8D" w:rsidRPr="00D71D8D" w:rsidRDefault="00BB74A3" w:rsidP="0020712A">
      <w:pPr>
        <w:numPr>
          <w:ilvl w:val="0"/>
          <w:numId w:val="6"/>
        </w:numPr>
        <w:spacing w:after="0"/>
        <w:contextualSpacing/>
        <w:rPr>
          <w:rFonts w:cs="Arial"/>
          <w:color w:val="auto"/>
          <w:lang w:eastAsia="en-US"/>
        </w:rPr>
      </w:pPr>
      <w:r>
        <w:rPr>
          <w:rFonts w:cs="Arial"/>
          <w:color w:val="auto"/>
          <w:lang w:eastAsia="en-US"/>
        </w:rPr>
        <w:t>T</w:t>
      </w:r>
      <w:r w:rsidR="00D71D8D" w:rsidRPr="00D71D8D">
        <w:rPr>
          <w:rFonts w:cs="Arial"/>
          <w:color w:val="auto"/>
          <w:lang w:eastAsia="en-US"/>
        </w:rPr>
        <w:t xml:space="preserve">he Strategy defines a </w:t>
      </w:r>
      <w:r w:rsidR="001250F2">
        <w:rPr>
          <w:rFonts w:cs="Arial"/>
          <w:color w:val="auto"/>
          <w:lang w:eastAsia="en-US"/>
        </w:rPr>
        <w:t>S</w:t>
      </w:r>
      <w:r w:rsidR="00D71D8D" w:rsidRPr="00D71D8D">
        <w:rPr>
          <w:rFonts w:cs="Arial"/>
          <w:color w:val="auto"/>
          <w:lang w:eastAsia="en-US"/>
        </w:rPr>
        <w:t xml:space="preserve">pecified </w:t>
      </w:r>
      <w:r w:rsidR="001250F2">
        <w:rPr>
          <w:rFonts w:cs="Arial"/>
          <w:color w:val="auto"/>
          <w:lang w:eastAsia="en-US"/>
        </w:rPr>
        <w:t>I</w:t>
      </w:r>
      <w:r w:rsidR="00D71D8D" w:rsidRPr="00D71D8D">
        <w:rPr>
          <w:rFonts w:cs="Arial"/>
          <w:color w:val="auto"/>
          <w:lang w:eastAsia="en-US"/>
        </w:rPr>
        <w:t xml:space="preserve">nvestment as one that is in sterling, no more than one year in duration or, if in excess of one year can be repaid earlier on request and with counterparties that meet the Council’s credit rating criteria.  Additionally, once the duration of a </w:t>
      </w:r>
      <w:r w:rsidR="001250F2">
        <w:rPr>
          <w:rFonts w:cs="Arial"/>
          <w:color w:val="auto"/>
          <w:lang w:eastAsia="en-US"/>
        </w:rPr>
        <w:t>N</w:t>
      </w:r>
      <w:r w:rsidR="00D71D8D" w:rsidRPr="00D71D8D">
        <w:rPr>
          <w:rFonts w:cs="Arial"/>
          <w:color w:val="auto"/>
          <w:lang w:eastAsia="en-US"/>
        </w:rPr>
        <w:t xml:space="preserve">on-specified </w:t>
      </w:r>
      <w:r w:rsidR="001250F2">
        <w:rPr>
          <w:rFonts w:cs="Arial"/>
          <w:color w:val="auto"/>
          <w:lang w:eastAsia="en-US"/>
        </w:rPr>
        <w:t>I</w:t>
      </w:r>
      <w:r w:rsidR="00D71D8D" w:rsidRPr="00D71D8D">
        <w:rPr>
          <w:rFonts w:cs="Arial"/>
          <w:color w:val="auto"/>
          <w:lang w:eastAsia="en-US"/>
        </w:rPr>
        <w:t>nvestment falls below 36</w:t>
      </w:r>
      <w:r>
        <w:rPr>
          <w:rFonts w:cs="Arial"/>
          <w:color w:val="auto"/>
          <w:lang w:eastAsia="en-US"/>
        </w:rPr>
        <w:t>6</w:t>
      </w:r>
      <w:r w:rsidR="00D71D8D" w:rsidRPr="00D71D8D">
        <w:rPr>
          <w:rFonts w:cs="Arial"/>
          <w:color w:val="auto"/>
          <w:lang w:eastAsia="en-US"/>
        </w:rPr>
        <w:t xml:space="preserve"> days, it also falls into the </w:t>
      </w:r>
      <w:r w:rsidR="001250F2">
        <w:rPr>
          <w:rFonts w:cs="Arial"/>
          <w:color w:val="auto"/>
          <w:lang w:eastAsia="en-US"/>
        </w:rPr>
        <w:t>S</w:t>
      </w:r>
      <w:r w:rsidR="00D71D8D" w:rsidRPr="00D71D8D">
        <w:rPr>
          <w:rFonts w:cs="Arial"/>
          <w:color w:val="auto"/>
          <w:lang w:eastAsia="en-US"/>
        </w:rPr>
        <w:t xml:space="preserve">pecified category. </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Non-specified investments are any other type of investment including property funds.  Whilst generally these investments will earn a higher rate of return they are inherently more risky in nature and </w:t>
      </w:r>
      <w:r w:rsidR="00DC70EE">
        <w:rPr>
          <w:rFonts w:cs="Arial"/>
          <w:color w:val="auto"/>
          <w:lang w:eastAsia="en-US"/>
        </w:rPr>
        <w:t>therefore limited to either a</w:t>
      </w:r>
      <w:r w:rsidRPr="00D71D8D">
        <w:rPr>
          <w:rFonts w:cs="Arial"/>
          <w:color w:val="auto"/>
          <w:lang w:eastAsia="en-US"/>
        </w:rPr>
        <w:t xml:space="preserve"> maximum of 25% </w:t>
      </w:r>
      <w:r w:rsidR="00BB74A3" w:rsidRPr="001A297A">
        <w:rPr>
          <w:rFonts w:cs="Arial"/>
          <w:color w:val="auto"/>
          <w:lang w:eastAsia="en-US"/>
        </w:rPr>
        <w:t>(currently £</w:t>
      </w:r>
      <w:r w:rsidR="00F95709" w:rsidRPr="001A297A">
        <w:rPr>
          <w:rFonts w:cs="Arial"/>
          <w:color w:val="auto"/>
          <w:lang w:eastAsia="en-US"/>
        </w:rPr>
        <w:t>2</w:t>
      </w:r>
      <w:r w:rsidR="001A297A" w:rsidRPr="001A297A">
        <w:rPr>
          <w:rFonts w:cs="Arial"/>
          <w:color w:val="auto"/>
          <w:lang w:eastAsia="en-US"/>
        </w:rPr>
        <w:t>5</w:t>
      </w:r>
      <w:r w:rsidR="00F95709" w:rsidRPr="001A297A">
        <w:rPr>
          <w:rFonts w:cs="Arial"/>
          <w:color w:val="auto"/>
          <w:lang w:eastAsia="en-US"/>
        </w:rPr>
        <w:t>.</w:t>
      </w:r>
      <w:r w:rsidR="001A297A" w:rsidRPr="001A297A">
        <w:rPr>
          <w:rFonts w:cs="Arial"/>
          <w:color w:val="auto"/>
          <w:lang w:eastAsia="en-US"/>
        </w:rPr>
        <w:t>6</w:t>
      </w:r>
      <w:r w:rsidR="00BB74A3" w:rsidRPr="001A297A">
        <w:rPr>
          <w:rFonts w:cs="Arial"/>
          <w:color w:val="auto"/>
          <w:lang w:eastAsia="en-US"/>
        </w:rPr>
        <w:t xml:space="preserve"> million) </w:t>
      </w:r>
      <w:r w:rsidRPr="001A297A">
        <w:rPr>
          <w:rFonts w:cs="Arial"/>
          <w:color w:val="auto"/>
          <w:lang w:eastAsia="en-US"/>
        </w:rPr>
        <w:t>of t</w:t>
      </w:r>
      <w:r w:rsidRPr="00D71D8D">
        <w:rPr>
          <w:rFonts w:cs="Arial"/>
          <w:color w:val="auto"/>
          <w:lang w:eastAsia="en-US"/>
        </w:rPr>
        <w:t xml:space="preserve">he previous </w:t>
      </w:r>
      <w:r w:rsidR="00BB74A3">
        <w:rPr>
          <w:rFonts w:cs="Arial"/>
          <w:color w:val="auto"/>
          <w:lang w:eastAsia="en-US"/>
        </w:rPr>
        <w:t xml:space="preserve">full </w:t>
      </w:r>
      <w:r w:rsidRPr="00D71D8D">
        <w:rPr>
          <w:rFonts w:cs="Arial"/>
          <w:color w:val="auto"/>
          <w:lang w:eastAsia="en-US"/>
        </w:rPr>
        <w:t>year’s average monthly investment balance</w:t>
      </w:r>
      <w:r w:rsidR="00BB74A3">
        <w:rPr>
          <w:rFonts w:cs="Arial"/>
          <w:color w:val="auto"/>
          <w:lang w:eastAsia="en-US"/>
        </w:rPr>
        <w:t xml:space="preserve"> to 31</w:t>
      </w:r>
      <w:r w:rsidR="00BB74A3" w:rsidRPr="00BB74A3">
        <w:rPr>
          <w:rFonts w:cs="Arial"/>
          <w:color w:val="auto"/>
          <w:vertAlign w:val="superscript"/>
          <w:lang w:eastAsia="en-US"/>
        </w:rPr>
        <w:t>st</w:t>
      </w:r>
      <w:r w:rsidR="00BB74A3">
        <w:rPr>
          <w:rFonts w:cs="Arial"/>
          <w:color w:val="auto"/>
          <w:lang w:eastAsia="en-US"/>
        </w:rPr>
        <w:t xml:space="preserve"> December</w:t>
      </w:r>
      <w:r w:rsidR="00DC70EE">
        <w:rPr>
          <w:rFonts w:cs="Arial"/>
          <w:color w:val="auto"/>
          <w:lang w:eastAsia="en-US"/>
        </w:rPr>
        <w:t>,</w:t>
      </w:r>
      <w:r w:rsidRPr="00D71D8D">
        <w:rPr>
          <w:rFonts w:cs="Arial"/>
          <w:color w:val="auto"/>
          <w:lang w:eastAsia="en-US"/>
        </w:rPr>
        <w:t xml:space="preserve"> or £</w:t>
      </w:r>
      <w:r w:rsidR="00BB74A3">
        <w:rPr>
          <w:rFonts w:cs="Arial"/>
          <w:color w:val="auto"/>
          <w:lang w:eastAsia="en-US"/>
        </w:rPr>
        <w:t>24</w:t>
      </w:r>
      <w:r w:rsidRPr="00D71D8D">
        <w:rPr>
          <w:rFonts w:cs="Arial"/>
          <w:color w:val="auto"/>
          <w:lang w:eastAsia="en-US"/>
        </w:rPr>
        <w:t xml:space="preserve"> million, whichever is </w:t>
      </w:r>
      <w:r w:rsidR="00046C9C">
        <w:rPr>
          <w:rFonts w:cs="Arial"/>
          <w:color w:val="auto"/>
          <w:lang w:eastAsia="en-US"/>
        </w:rPr>
        <w:t xml:space="preserve">the </w:t>
      </w:r>
      <w:proofErr w:type="gramStart"/>
      <w:r w:rsidRPr="00D71D8D">
        <w:rPr>
          <w:rFonts w:cs="Arial"/>
          <w:color w:val="auto"/>
          <w:lang w:eastAsia="en-US"/>
        </w:rPr>
        <w:t>greater</w:t>
      </w:r>
      <w:r w:rsidR="00BB74A3">
        <w:rPr>
          <w:rFonts w:cs="Arial"/>
          <w:color w:val="auto"/>
          <w:lang w:eastAsia="en-US"/>
        </w:rPr>
        <w:t>.</w:t>
      </w:r>
      <w:proofErr w:type="gramEnd"/>
      <w:r w:rsidR="00166DB1">
        <w:rPr>
          <w:rFonts w:cs="Arial"/>
          <w:color w:val="auto"/>
          <w:lang w:eastAsia="en-US"/>
        </w:rPr>
        <w:t xml:space="preserve"> The Council currently have £10 million of property investments</w:t>
      </w:r>
      <w:r w:rsidR="003E13F5">
        <w:rPr>
          <w:rFonts w:cs="Arial"/>
          <w:color w:val="auto"/>
          <w:lang w:eastAsia="en-US"/>
        </w:rPr>
        <w:t>;</w:t>
      </w:r>
      <w:r w:rsidR="00166DB1">
        <w:rPr>
          <w:rFonts w:cs="Arial"/>
          <w:color w:val="auto"/>
          <w:lang w:eastAsia="en-US"/>
        </w:rPr>
        <w:t xml:space="preserve"> </w:t>
      </w:r>
      <w:r w:rsidR="003E13F5">
        <w:rPr>
          <w:rFonts w:cs="Arial"/>
          <w:color w:val="auto"/>
          <w:lang w:eastAsia="en-US"/>
        </w:rPr>
        <w:t>£7 million</w:t>
      </w:r>
      <w:r w:rsidR="00166DB1">
        <w:rPr>
          <w:rFonts w:cs="Arial"/>
          <w:color w:val="auto"/>
          <w:lang w:eastAsia="en-US"/>
        </w:rPr>
        <w:t xml:space="preserve"> with </w:t>
      </w:r>
      <w:proofErr w:type="spellStart"/>
      <w:r w:rsidR="00166DB1">
        <w:rPr>
          <w:rFonts w:cs="Arial"/>
          <w:color w:val="auto"/>
          <w:lang w:eastAsia="en-US"/>
        </w:rPr>
        <w:t>Lothbury</w:t>
      </w:r>
      <w:proofErr w:type="spellEnd"/>
      <w:r w:rsidR="00166DB1">
        <w:rPr>
          <w:rFonts w:cs="Arial"/>
          <w:color w:val="auto"/>
          <w:lang w:eastAsia="en-US"/>
        </w:rPr>
        <w:t xml:space="preserve"> and </w:t>
      </w:r>
      <w:r w:rsidR="003E13F5">
        <w:rPr>
          <w:rFonts w:cs="Arial"/>
          <w:color w:val="auto"/>
          <w:lang w:eastAsia="en-US"/>
        </w:rPr>
        <w:t>£3 million</w:t>
      </w:r>
      <w:r w:rsidR="00166DB1">
        <w:rPr>
          <w:rFonts w:cs="Arial"/>
          <w:color w:val="auto"/>
          <w:lang w:eastAsia="en-US"/>
        </w:rPr>
        <w:t xml:space="preserve"> with CCLA Investment Management Ltd. In the Councils Budget Strategy provision has been made for further investments of treasury cash in indirect property funds in the order of £10 million.</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Investments may be arranged in advance and there has been a significant rise in “forward deals” in recent times. Trades arranged up to four weeks in advance of the start date </w:t>
      </w:r>
      <w:r w:rsidR="00F20597">
        <w:rPr>
          <w:rFonts w:cs="Arial"/>
          <w:color w:val="auto"/>
          <w:lang w:eastAsia="en-US"/>
        </w:rPr>
        <w:t>are</w:t>
      </w:r>
      <w:r w:rsidRPr="00D71D8D">
        <w:rPr>
          <w:rFonts w:cs="Arial"/>
          <w:color w:val="auto"/>
          <w:lang w:eastAsia="en-US"/>
        </w:rPr>
        <w:t xml:space="preserve"> still classified as </w:t>
      </w:r>
      <w:r w:rsidR="001250F2">
        <w:rPr>
          <w:rFonts w:cs="Arial"/>
          <w:color w:val="auto"/>
          <w:lang w:eastAsia="en-US"/>
        </w:rPr>
        <w:t>S</w:t>
      </w:r>
      <w:r w:rsidRPr="00D71D8D">
        <w:rPr>
          <w:rFonts w:cs="Arial"/>
          <w:color w:val="auto"/>
          <w:lang w:eastAsia="en-US"/>
        </w:rPr>
        <w:t xml:space="preserve">pecified </w:t>
      </w:r>
      <w:r w:rsidR="001250F2">
        <w:rPr>
          <w:rFonts w:cs="Arial"/>
          <w:color w:val="auto"/>
          <w:lang w:eastAsia="en-US"/>
        </w:rPr>
        <w:t>I</w:t>
      </w:r>
      <w:r w:rsidRPr="00D71D8D">
        <w:rPr>
          <w:rFonts w:cs="Arial"/>
          <w:color w:val="auto"/>
          <w:lang w:eastAsia="en-US"/>
        </w:rPr>
        <w:t xml:space="preserve">nvestments provided the duration of the investment from the start date to the maturity </w:t>
      </w:r>
      <w:r w:rsidR="001250F2">
        <w:rPr>
          <w:rFonts w:cs="Arial"/>
          <w:color w:val="auto"/>
          <w:lang w:eastAsia="en-US"/>
        </w:rPr>
        <w:t>is</w:t>
      </w:r>
      <w:r w:rsidRPr="00D71D8D">
        <w:rPr>
          <w:rFonts w:cs="Arial"/>
          <w:color w:val="auto"/>
          <w:lang w:eastAsia="en-US"/>
        </w:rPr>
        <w:t xml:space="preserve"> no longer than 36</w:t>
      </w:r>
      <w:r w:rsidR="00BB74A3">
        <w:rPr>
          <w:rFonts w:cs="Arial"/>
          <w:color w:val="auto"/>
          <w:lang w:eastAsia="en-US"/>
        </w:rPr>
        <w:t>5</w:t>
      </w:r>
      <w:r w:rsidRPr="00D71D8D">
        <w:rPr>
          <w:rFonts w:cs="Arial"/>
          <w:color w:val="auto"/>
          <w:lang w:eastAsia="en-US"/>
        </w:rPr>
        <w:t xml:space="preserve"> days. Trade dates are factored into the duration of the investment if arranged</w:t>
      </w:r>
      <w:r w:rsidR="001250F2">
        <w:rPr>
          <w:rFonts w:cs="Arial"/>
          <w:color w:val="auto"/>
          <w:lang w:eastAsia="en-US"/>
        </w:rPr>
        <w:t xml:space="preserve"> more than four weeks</w:t>
      </w:r>
      <w:r w:rsidRPr="00D71D8D">
        <w:rPr>
          <w:rFonts w:cs="Arial"/>
          <w:color w:val="auto"/>
          <w:lang w:eastAsia="en-US"/>
        </w:rPr>
        <w:t xml:space="preserve"> in advance because there is an increased risk due to funds being contractually committed.</w:t>
      </w:r>
    </w:p>
    <w:p w:rsidR="00D71D8D" w:rsidRPr="00010297" w:rsidRDefault="00D71D8D" w:rsidP="00010297">
      <w:pPr>
        <w:pStyle w:val="Heading1"/>
      </w:pPr>
      <w:r w:rsidRPr="00010297">
        <w:t>Ethical Investment Policy</w:t>
      </w:r>
    </w:p>
    <w:p w:rsidR="00D71D8D" w:rsidRPr="00D71D8D" w:rsidRDefault="005D4197" w:rsidP="0020712A">
      <w:pPr>
        <w:numPr>
          <w:ilvl w:val="0"/>
          <w:numId w:val="6"/>
        </w:numPr>
        <w:spacing w:after="0"/>
        <w:contextualSpacing/>
        <w:rPr>
          <w:rFonts w:cs="Arial"/>
          <w:color w:val="auto"/>
          <w:lang w:eastAsia="en-US"/>
        </w:rPr>
      </w:pPr>
      <w:r>
        <w:rPr>
          <w:rFonts w:cs="Arial"/>
          <w:color w:val="auto"/>
          <w:lang w:eastAsia="en-US"/>
        </w:rPr>
        <w:t xml:space="preserve">The </w:t>
      </w:r>
      <w:r w:rsidR="00D71D8D" w:rsidRPr="00D71D8D">
        <w:rPr>
          <w:rFonts w:cs="Arial"/>
          <w:color w:val="auto"/>
          <w:lang w:eastAsia="en-US"/>
        </w:rPr>
        <w:t>Council adopted an ethical investment policy in 2015/16</w:t>
      </w:r>
      <w:r w:rsidR="001250F2">
        <w:rPr>
          <w:rFonts w:cs="Arial"/>
          <w:color w:val="auto"/>
          <w:lang w:eastAsia="en-US"/>
        </w:rPr>
        <w:t>.</w:t>
      </w:r>
      <w:r w:rsidR="00D71D8D" w:rsidRPr="00D71D8D">
        <w:rPr>
          <w:rFonts w:cs="Arial"/>
          <w:color w:val="auto"/>
          <w:lang w:eastAsia="en-US"/>
        </w:rPr>
        <w:t xml:space="preserve">  No changes are proposed to th</w:t>
      </w:r>
      <w:r w:rsidR="001250F2">
        <w:rPr>
          <w:rFonts w:cs="Arial"/>
          <w:color w:val="auto"/>
          <w:lang w:eastAsia="en-US"/>
        </w:rPr>
        <w:t xml:space="preserve">e </w:t>
      </w:r>
      <w:r w:rsidR="00D71D8D" w:rsidRPr="00D71D8D">
        <w:rPr>
          <w:rFonts w:cs="Arial"/>
          <w:color w:val="auto"/>
          <w:lang w:eastAsia="en-US"/>
        </w:rPr>
        <w:t xml:space="preserve">policy </w:t>
      </w:r>
      <w:r w:rsidR="001250F2" w:rsidRPr="00D71D8D">
        <w:rPr>
          <w:rFonts w:cs="Arial"/>
          <w:color w:val="auto"/>
          <w:lang w:eastAsia="en-US"/>
        </w:rPr>
        <w:t>which is set out below</w:t>
      </w:r>
      <w:r w:rsidR="001250F2">
        <w:rPr>
          <w:rFonts w:cs="Arial"/>
          <w:color w:val="auto"/>
          <w:lang w:eastAsia="en-US"/>
        </w:rPr>
        <w:t>:</w:t>
      </w:r>
    </w:p>
    <w:p w:rsidR="00D71D8D" w:rsidRPr="00D71D8D" w:rsidRDefault="00D71D8D" w:rsidP="00D71D8D">
      <w:pPr>
        <w:spacing w:after="0"/>
        <w:ind w:left="360"/>
        <w:rPr>
          <w:rFonts w:cs="Arial"/>
          <w:color w:val="auto"/>
          <w:lang w:eastAsia="en-US"/>
        </w:rPr>
      </w:pPr>
    </w:p>
    <w:p w:rsidR="00D71D8D" w:rsidRPr="00D71D8D" w:rsidRDefault="00D71D8D" w:rsidP="002B0E44">
      <w:pPr>
        <w:spacing w:after="0"/>
        <w:ind w:left="360"/>
        <w:contextualSpacing/>
        <w:rPr>
          <w:rFonts w:cs="Arial"/>
          <w:color w:val="auto"/>
          <w:lang w:eastAsia="en-US"/>
        </w:rPr>
      </w:pPr>
      <w:r w:rsidRPr="00D71D8D">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1"/>
          <w:numId w:val="6"/>
        </w:numPr>
        <w:spacing w:after="0"/>
        <w:contextualSpacing/>
        <w:rPr>
          <w:rFonts w:cs="Arial"/>
          <w:color w:val="auto"/>
          <w:lang w:eastAsia="en-US"/>
        </w:rPr>
      </w:pPr>
      <w:r w:rsidRPr="00D71D8D">
        <w:rPr>
          <w:rFonts w:cs="Arial"/>
          <w:color w:val="auto"/>
          <w:lang w:eastAsia="en-US"/>
        </w:rPr>
        <w:t>Human rights abuse (e.g. child labour, political oppression)</w:t>
      </w:r>
    </w:p>
    <w:p w:rsidR="00D71D8D" w:rsidRPr="00D71D8D" w:rsidRDefault="00D71D8D" w:rsidP="0020712A">
      <w:pPr>
        <w:numPr>
          <w:ilvl w:val="1"/>
          <w:numId w:val="6"/>
        </w:numPr>
        <w:spacing w:after="0"/>
        <w:contextualSpacing/>
        <w:rPr>
          <w:rFonts w:cs="Arial"/>
          <w:color w:val="auto"/>
          <w:lang w:eastAsia="en-US"/>
        </w:rPr>
      </w:pPr>
      <w:r w:rsidRPr="00D71D8D">
        <w:rPr>
          <w:rFonts w:cs="Arial"/>
          <w:color w:val="auto"/>
          <w:lang w:eastAsia="en-US"/>
        </w:rPr>
        <w:t>Environmentally harmful activities (e.g. pollutants, destruction of habitat, fossil fuels)</w:t>
      </w:r>
    </w:p>
    <w:p w:rsidR="00D71D8D" w:rsidRDefault="00D71D8D" w:rsidP="0020712A">
      <w:pPr>
        <w:numPr>
          <w:ilvl w:val="1"/>
          <w:numId w:val="6"/>
        </w:numPr>
        <w:spacing w:after="0"/>
        <w:contextualSpacing/>
        <w:rPr>
          <w:rFonts w:cs="Arial"/>
          <w:color w:val="auto"/>
          <w:lang w:eastAsia="en-US"/>
        </w:rPr>
      </w:pPr>
      <w:r w:rsidRPr="00D71D8D">
        <w:rPr>
          <w:rFonts w:cs="Arial"/>
          <w:color w:val="auto"/>
          <w:lang w:eastAsia="en-US"/>
        </w:rPr>
        <w:t>Socially harmful activities (e.g. tobacco, gambling)</w:t>
      </w:r>
    </w:p>
    <w:p w:rsidR="00C37CEE" w:rsidRDefault="00C37CEE" w:rsidP="00C37CEE">
      <w:pPr>
        <w:spacing w:after="0"/>
        <w:contextualSpacing/>
        <w:rPr>
          <w:rFonts w:cs="Arial"/>
          <w:color w:val="auto"/>
          <w:lang w:eastAsia="en-US"/>
        </w:rPr>
      </w:pPr>
    </w:p>
    <w:p w:rsidR="00C37CEE" w:rsidRPr="00D71D8D" w:rsidRDefault="00C37CEE" w:rsidP="00C37CEE">
      <w:pPr>
        <w:numPr>
          <w:ilvl w:val="0"/>
          <w:numId w:val="6"/>
        </w:numPr>
        <w:spacing w:after="0"/>
        <w:contextualSpacing/>
        <w:rPr>
          <w:rFonts w:cs="Arial"/>
          <w:color w:val="auto"/>
          <w:lang w:eastAsia="en-US"/>
        </w:rPr>
      </w:pPr>
      <w:r w:rsidRPr="00C37CEE">
        <w:rPr>
          <w:rFonts w:cs="Arial"/>
          <w:color w:val="auto"/>
          <w:lang w:eastAsia="en-US"/>
        </w:rPr>
        <w:t xml:space="preserve">The Council has been able to take advantage of some green deposit notice accounts offered by Barclays Bank who are working in association with </w:t>
      </w:r>
      <w:proofErr w:type="spellStart"/>
      <w:r w:rsidRPr="00C37CEE">
        <w:rPr>
          <w:rFonts w:cs="Arial"/>
          <w:color w:val="auto"/>
          <w:lang w:eastAsia="en-US"/>
        </w:rPr>
        <w:t>Sustainanalytics</w:t>
      </w:r>
      <w:proofErr w:type="spellEnd"/>
      <w:r w:rsidRPr="00C37CEE">
        <w:rPr>
          <w:rFonts w:cs="Arial"/>
          <w:color w:val="auto"/>
          <w:lang w:eastAsia="en-US"/>
        </w:rPr>
        <w:t xml:space="preserve">, a leading global provider of environmental, social and corporate </w:t>
      </w:r>
      <w:r w:rsidRPr="00C37CEE">
        <w:rPr>
          <w:rFonts w:cs="Arial"/>
          <w:color w:val="auto"/>
          <w:lang w:eastAsia="en-US"/>
        </w:rPr>
        <w:lastRenderedPageBreak/>
        <w:t>governance research and ratings, to achieve a positive environmental impact. Their green framework covers the following environmental areas:</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Energy efficiency projects and renewable energy</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Sustainable food agriculture and forestry</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Waste management</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Greenhouse gas emission reduction</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Sustainable water</w:t>
      </w:r>
    </w:p>
    <w:p w:rsidR="00D71D8D" w:rsidRPr="00010297" w:rsidRDefault="00D71D8D" w:rsidP="00010297">
      <w:pPr>
        <w:pStyle w:val="Heading1"/>
      </w:pPr>
      <w:r w:rsidRPr="00010297">
        <w:t>Prudential Indicators</w:t>
      </w:r>
    </w:p>
    <w:p w:rsid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Council is required to set out a number of indicators, relating to the affordability and prudence of its Treasury Strategy.  These indicators are detailed in Appendix 2 for the period 201</w:t>
      </w:r>
      <w:r w:rsidR="005D4197">
        <w:rPr>
          <w:rFonts w:cs="Arial"/>
          <w:color w:val="auto"/>
          <w:lang w:eastAsia="en-US"/>
        </w:rPr>
        <w:t>8</w:t>
      </w:r>
      <w:r w:rsidRPr="00D71D8D">
        <w:rPr>
          <w:rFonts w:cs="Arial"/>
          <w:color w:val="auto"/>
          <w:lang w:eastAsia="en-US"/>
        </w:rPr>
        <w:t>/1</w:t>
      </w:r>
      <w:r w:rsidR="005D4197">
        <w:rPr>
          <w:rFonts w:cs="Arial"/>
          <w:color w:val="auto"/>
          <w:lang w:eastAsia="en-US"/>
        </w:rPr>
        <w:t>9</w:t>
      </w:r>
      <w:r w:rsidRPr="00D71D8D">
        <w:rPr>
          <w:rFonts w:cs="Arial"/>
          <w:color w:val="auto"/>
          <w:lang w:eastAsia="en-US"/>
        </w:rPr>
        <w:t xml:space="preserve"> – 20</w:t>
      </w:r>
      <w:r w:rsidR="005D4197">
        <w:rPr>
          <w:rFonts w:cs="Arial"/>
          <w:color w:val="auto"/>
          <w:lang w:eastAsia="en-US"/>
        </w:rPr>
        <w:t>2</w:t>
      </w:r>
      <w:r w:rsidR="007B255A">
        <w:rPr>
          <w:rFonts w:cs="Arial"/>
          <w:color w:val="auto"/>
          <w:lang w:eastAsia="en-US"/>
        </w:rPr>
        <w:t>1</w:t>
      </w:r>
      <w:r w:rsidRPr="00D71D8D">
        <w:rPr>
          <w:rFonts w:cs="Arial"/>
          <w:color w:val="auto"/>
          <w:lang w:eastAsia="en-US"/>
        </w:rPr>
        <w:t>/2</w:t>
      </w:r>
      <w:r w:rsidR="007B255A">
        <w:rPr>
          <w:rFonts w:cs="Arial"/>
          <w:color w:val="auto"/>
          <w:lang w:eastAsia="en-US"/>
        </w:rPr>
        <w:t>2</w:t>
      </w:r>
      <w:r w:rsidRPr="00D71D8D">
        <w:rPr>
          <w:rFonts w:cs="Arial"/>
          <w:color w:val="auto"/>
          <w:lang w:eastAsia="en-US"/>
        </w:rPr>
        <w:t>, and will be monitored and reported on an annual basis.</w:t>
      </w:r>
    </w:p>
    <w:p w:rsidR="00B961C0" w:rsidRPr="00010297" w:rsidRDefault="00B961C0" w:rsidP="00010297">
      <w:pPr>
        <w:pStyle w:val="Heading1"/>
      </w:pPr>
      <w:r w:rsidRPr="001356F1">
        <w:t xml:space="preserve">Other implications </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Environmental Impact</w:t>
      </w:r>
      <w:r>
        <w:rPr>
          <w:rFonts w:cs="Arial"/>
          <w:color w:val="auto"/>
          <w:lang w:eastAsia="en-US"/>
        </w:rPr>
        <w:t xml:space="preserve"> – f</w:t>
      </w:r>
      <w:r w:rsidRPr="00B961C0">
        <w:rPr>
          <w:rFonts w:cs="Arial"/>
          <w:color w:val="auto"/>
          <w:lang w:eastAsia="en-US"/>
        </w:rPr>
        <w:t>ollowing the inclusion of the Ethical Investment Policy, this ensures that through our investments we will not knowingly, directly invest in businesses that undertake harmful environmental activities.</w:t>
      </w:r>
    </w:p>
    <w:p w:rsidR="00B961C0" w:rsidRPr="001356F1" w:rsidRDefault="00B961C0" w:rsidP="00B961C0">
      <w:pPr>
        <w:pStyle w:val="Heading1"/>
      </w:pPr>
      <w:r w:rsidRPr="001356F1">
        <w:t>Financial implications</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 xml:space="preserve">All financial issues </w:t>
      </w:r>
      <w:r w:rsidR="001250F2">
        <w:rPr>
          <w:rFonts w:cs="Arial"/>
          <w:color w:val="auto"/>
          <w:lang w:eastAsia="en-US"/>
        </w:rPr>
        <w:t>are</w:t>
      </w:r>
      <w:r w:rsidRPr="00B961C0">
        <w:rPr>
          <w:rFonts w:cs="Arial"/>
          <w:color w:val="auto"/>
          <w:lang w:eastAsia="en-US"/>
        </w:rPr>
        <w:t xml:space="preserve"> addr</w:t>
      </w:r>
      <w:r>
        <w:rPr>
          <w:rFonts w:cs="Arial"/>
          <w:color w:val="auto"/>
          <w:lang w:eastAsia="en-US"/>
        </w:rPr>
        <w:t xml:space="preserve">essed in the body </w:t>
      </w:r>
      <w:r w:rsidR="001250F2">
        <w:rPr>
          <w:rFonts w:cs="Arial"/>
          <w:color w:val="auto"/>
          <w:lang w:eastAsia="en-US"/>
        </w:rPr>
        <w:t xml:space="preserve">and appendices </w:t>
      </w:r>
      <w:r>
        <w:rPr>
          <w:rFonts w:cs="Arial"/>
          <w:color w:val="auto"/>
          <w:lang w:eastAsia="en-US"/>
        </w:rPr>
        <w:t>of the report.</w:t>
      </w:r>
      <w:r w:rsidR="00166DB1">
        <w:rPr>
          <w:rFonts w:cs="Arial"/>
          <w:color w:val="auto"/>
          <w:lang w:eastAsia="en-US"/>
        </w:rPr>
        <w:t xml:space="preserve"> </w:t>
      </w:r>
      <w:r w:rsidR="00545B48">
        <w:rPr>
          <w:rFonts w:cs="Arial"/>
          <w:color w:val="auto"/>
          <w:lang w:eastAsia="en-US"/>
        </w:rPr>
        <w:t xml:space="preserve"> </w:t>
      </w:r>
      <w:r w:rsidR="00AD3EDC">
        <w:rPr>
          <w:rFonts w:cs="Arial"/>
          <w:color w:val="auto"/>
          <w:lang w:eastAsia="en-US"/>
        </w:rPr>
        <w:t>The Council’s assumptions for net investment interest for the General Fund for 2019/20 to 2023/24 are as follows:</w:t>
      </w:r>
    </w:p>
    <w:p w:rsidR="00AD3EDC" w:rsidRDefault="005E1929" w:rsidP="00AD3EDC">
      <w:pPr>
        <w:spacing w:after="0"/>
        <w:ind w:left="360"/>
        <w:contextualSpacing/>
        <w:rPr>
          <w:rFonts w:cs="Arial"/>
          <w:color w:val="auto"/>
          <w:lang w:eastAsia="en-US"/>
        </w:rPr>
      </w:pPr>
      <w:r w:rsidRPr="005E1929">
        <w:rPr>
          <w:rFonts w:cs="Arial"/>
          <w:color w:val="auto"/>
          <w:lang w:eastAsia="en-US"/>
        </w:rPr>
        <w:t xml:space="preserve"> </w:t>
      </w:r>
      <w:r w:rsidRPr="005E1929">
        <w:rPr>
          <w:noProof/>
        </w:rPr>
        <w:drawing>
          <wp:inline distT="0" distB="0" distL="0" distR="0" wp14:anchorId="481C7361" wp14:editId="068331CC">
            <wp:extent cx="52006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a:ln>
                      <a:noFill/>
                    </a:ln>
                  </pic:spPr>
                </pic:pic>
              </a:graphicData>
            </a:graphic>
          </wp:inline>
        </w:drawing>
      </w:r>
    </w:p>
    <w:p w:rsidR="00AD3EDC" w:rsidRDefault="00AD3EDC" w:rsidP="0020712A">
      <w:pPr>
        <w:numPr>
          <w:ilvl w:val="0"/>
          <w:numId w:val="6"/>
        </w:numPr>
        <w:spacing w:after="0"/>
        <w:contextualSpacing/>
        <w:rPr>
          <w:rFonts w:cs="Arial"/>
          <w:color w:val="auto"/>
          <w:lang w:eastAsia="en-US"/>
        </w:rPr>
      </w:pPr>
      <w:r>
        <w:rPr>
          <w:rFonts w:cs="Arial"/>
          <w:color w:val="auto"/>
          <w:lang w:eastAsia="en-US"/>
        </w:rPr>
        <w:t>This includes the cost of borrowing, interest from companies and interest from external investments.</w:t>
      </w:r>
    </w:p>
    <w:p w:rsidR="00B961C0" w:rsidRPr="001356F1" w:rsidRDefault="00B961C0" w:rsidP="00B961C0">
      <w:pPr>
        <w:pStyle w:val="Heading1"/>
      </w:pPr>
      <w:r w:rsidRPr="001356F1">
        <w:t>Legal issues</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This report fulfils four key requirements:</w:t>
      </w:r>
    </w:p>
    <w:p w:rsidR="00B961C0" w:rsidRDefault="00B961C0" w:rsidP="0020712A">
      <w:pPr>
        <w:pStyle w:val="ListParagraph"/>
        <w:numPr>
          <w:ilvl w:val="0"/>
          <w:numId w:val="14"/>
        </w:numPr>
        <w:tabs>
          <w:tab w:val="clear" w:pos="426"/>
        </w:tabs>
        <w:ind w:left="1276" w:hanging="425"/>
        <w:rPr>
          <w:rFonts w:cs="Arial"/>
        </w:rPr>
      </w:pPr>
      <w:r w:rsidRPr="00FD642B">
        <w:rPr>
          <w:rFonts w:cs="Arial"/>
        </w:rPr>
        <w:t xml:space="preserve">The reporting of the </w:t>
      </w:r>
      <w:r>
        <w:rPr>
          <w:rFonts w:cs="Arial"/>
        </w:rPr>
        <w:t>P</w:t>
      </w:r>
      <w:r w:rsidRPr="00FD642B">
        <w:rPr>
          <w:rFonts w:cs="Arial"/>
        </w:rPr>
        <w:t xml:space="preserve">rudential </w:t>
      </w:r>
      <w:r>
        <w:rPr>
          <w:rFonts w:cs="Arial"/>
        </w:rPr>
        <w:t>I</w:t>
      </w:r>
      <w:r w:rsidRPr="00FD642B">
        <w:rPr>
          <w:rFonts w:cs="Arial"/>
        </w:rPr>
        <w:t xml:space="preserve">ndicators setting out the </w:t>
      </w:r>
      <w:r>
        <w:rPr>
          <w:rFonts w:cs="Arial"/>
        </w:rPr>
        <w:t xml:space="preserve">Council’s </w:t>
      </w:r>
      <w:r w:rsidRPr="00FD642B">
        <w:rPr>
          <w:rFonts w:cs="Arial"/>
        </w:rPr>
        <w:t xml:space="preserve">expected capital activities (as required by the CIPFA Prudential Code for Capital Finance in Local Authorities).  </w:t>
      </w:r>
    </w:p>
    <w:p w:rsidR="00B961C0" w:rsidRPr="00F20019" w:rsidRDefault="00B961C0" w:rsidP="0020712A">
      <w:pPr>
        <w:pStyle w:val="ListParagraph"/>
        <w:numPr>
          <w:ilvl w:val="0"/>
          <w:numId w:val="14"/>
        </w:numPr>
        <w:tabs>
          <w:tab w:val="clear" w:pos="426"/>
        </w:tabs>
        <w:ind w:left="1276" w:hanging="425"/>
        <w:rPr>
          <w:rFonts w:cs="Arial"/>
        </w:rPr>
      </w:pPr>
      <w:r w:rsidRPr="00F20019">
        <w:rPr>
          <w:rFonts w:cs="Arial"/>
        </w:rPr>
        <w:t>Agreeing the Council’s Minimum Revenue Provision (MRP) Policy, which sets out how the Council will pay for capital assets through revenue each year (as required by guidance under the Local Government and Public Involvement in Health Act 2007).</w:t>
      </w:r>
    </w:p>
    <w:p w:rsidR="00B961C0" w:rsidRDefault="00B961C0" w:rsidP="0020712A">
      <w:pPr>
        <w:pStyle w:val="ListParagraph"/>
        <w:numPr>
          <w:ilvl w:val="0"/>
          <w:numId w:val="14"/>
        </w:numPr>
        <w:tabs>
          <w:tab w:val="clear" w:pos="426"/>
        </w:tabs>
        <w:ind w:left="1276" w:hanging="425"/>
        <w:rPr>
          <w:rFonts w:cs="Arial"/>
        </w:rPr>
      </w:pPr>
      <w:r w:rsidRPr="00C75777">
        <w:rPr>
          <w:rFonts w:cs="Arial"/>
        </w:rPr>
        <w:t xml:space="preserve">Agreeing the Treasury Management Strategy, </w:t>
      </w:r>
      <w:proofErr w:type="gramStart"/>
      <w:r w:rsidRPr="00C75777">
        <w:rPr>
          <w:rFonts w:cs="Arial"/>
        </w:rPr>
        <w:t xml:space="preserve">which </w:t>
      </w:r>
      <w:r>
        <w:rPr>
          <w:rFonts w:cs="Arial"/>
        </w:rPr>
        <w:t>links</w:t>
      </w:r>
      <w:r w:rsidRPr="00C75777">
        <w:rPr>
          <w:rFonts w:cs="Arial"/>
        </w:rPr>
        <w:t xml:space="preserve"> </w:t>
      </w:r>
      <w:r>
        <w:rPr>
          <w:rFonts w:cs="Arial"/>
        </w:rPr>
        <w:t>day to day Treasury Management</w:t>
      </w:r>
      <w:r w:rsidRPr="00C75777">
        <w:rPr>
          <w:rFonts w:cs="Arial"/>
        </w:rPr>
        <w:t xml:space="preserve"> </w:t>
      </w:r>
      <w:r>
        <w:rPr>
          <w:rFonts w:cs="Arial"/>
        </w:rPr>
        <w:t>to the Capital Programme and the T</w:t>
      </w:r>
      <w:r w:rsidRPr="00C75777">
        <w:rPr>
          <w:rFonts w:cs="Arial"/>
        </w:rPr>
        <w:t xml:space="preserve">reasury </w:t>
      </w:r>
      <w:r>
        <w:rPr>
          <w:rFonts w:cs="Arial"/>
        </w:rPr>
        <w:t>Management P</w:t>
      </w:r>
      <w:r w:rsidRPr="00C75777">
        <w:rPr>
          <w:rFonts w:cs="Arial"/>
        </w:rPr>
        <w:t xml:space="preserve">rudential </w:t>
      </w:r>
      <w:r>
        <w:rPr>
          <w:rFonts w:cs="Arial"/>
        </w:rPr>
        <w:t>I</w:t>
      </w:r>
      <w:r w:rsidRPr="00C75777">
        <w:rPr>
          <w:rFonts w:cs="Arial"/>
        </w:rPr>
        <w:t>ndicators.</w:t>
      </w:r>
      <w:proofErr w:type="gramEnd"/>
      <w:r w:rsidRPr="00C75777">
        <w:rPr>
          <w:rFonts w:cs="Arial"/>
        </w:rPr>
        <w:t xml:space="preserve">  The key indicator is the Authorised Limit, the maximum amount of debt the </w:t>
      </w:r>
      <w:r>
        <w:rPr>
          <w:rFonts w:cs="Arial"/>
        </w:rPr>
        <w:t>Council</w:t>
      </w:r>
      <w:r w:rsidRPr="00C75777">
        <w:rPr>
          <w:rFonts w:cs="Arial"/>
        </w:rPr>
        <w:t xml:space="preserve"> could afford in the short term, but which would not be sustainable in the longer term.  This is the Affordable Borrowing limit required by S3 of the Local Government Act 2003. </w:t>
      </w:r>
    </w:p>
    <w:p w:rsidR="00B961C0" w:rsidRDefault="00B961C0" w:rsidP="0020712A">
      <w:pPr>
        <w:pStyle w:val="ListParagraph"/>
        <w:numPr>
          <w:ilvl w:val="0"/>
          <w:numId w:val="14"/>
        </w:numPr>
        <w:tabs>
          <w:tab w:val="clear" w:pos="426"/>
        </w:tabs>
        <w:ind w:left="1276" w:hanging="425"/>
        <w:rPr>
          <w:rFonts w:cs="Arial"/>
        </w:rPr>
      </w:pPr>
      <w:r w:rsidRPr="00B961C0">
        <w:rPr>
          <w:rFonts w:cs="Arial"/>
        </w:rPr>
        <w:lastRenderedPageBreak/>
        <w:t>Agreeing the Investment Strategy, this sets out the Council’s criteria for choosing investment counterparties and limiting exposure to the risk of loss.</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Default="00B961C0" w:rsidP="00B961C0">
      <w:pPr>
        <w:spacing w:after="0"/>
        <w:ind w:left="360"/>
        <w:contextualSpacing/>
        <w:rPr>
          <w:rFonts w:cs="Arial"/>
          <w:color w:val="auto"/>
          <w:lang w:eastAsia="en-US"/>
        </w:rPr>
      </w:pP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 xml:space="preserve">The </w:t>
      </w:r>
      <w:r w:rsidR="001250F2">
        <w:rPr>
          <w:rFonts w:cs="Arial"/>
          <w:color w:val="auto"/>
          <w:lang w:eastAsia="en-US"/>
        </w:rPr>
        <w:t xml:space="preserve">Council’s </w:t>
      </w:r>
      <w:r w:rsidRPr="00B961C0">
        <w:rPr>
          <w:rFonts w:cs="Arial"/>
          <w:color w:val="auto"/>
          <w:lang w:eastAsia="en-US"/>
        </w:rPr>
        <w:t>Constitution requires the Strategy to be reported to the City Executive Board and Full Council outlining the expected treasury activity for the forthcoming four years on an annual basis.</w:t>
      </w:r>
    </w:p>
    <w:p w:rsidR="00670327" w:rsidRPr="001356F1" w:rsidRDefault="00670327" w:rsidP="00670327">
      <w:pPr>
        <w:pStyle w:val="Heading1"/>
      </w:pPr>
      <w:r w:rsidRPr="001356F1">
        <w:t>Level of risk</w:t>
      </w:r>
    </w:p>
    <w:p w:rsidR="00AD3EDC" w:rsidRDefault="0020712A" w:rsidP="00AD3EDC">
      <w:pPr>
        <w:numPr>
          <w:ilvl w:val="0"/>
          <w:numId w:val="6"/>
        </w:numPr>
        <w:spacing w:after="0"/>
        <w:contextualSpacing/>
        <w:rPr>
          <w:rFonts w:cs="Arial"/>
          <w:color w:val="auto"/>
          <w:lang w:eastAsia="en-US"/>
        </w:rPr>
      </w:pPr>
      <w:r>
        <w:rPr>
          <w:rFonts w:cs="Arial"/>
          <w:color w:val="auto"/>
          <w:lang w:eastAsia="en-US"/>
        </w:rPr>
        <w:t>Risk</w:t>
      </w:r>
      <w:r w:rsidR="00E64D33">
        <w:rPr>
          <w:rFonts w:cs="Arial"/>
          <w:color w:val="auto"/>
          <w:lang w:eastAsia="en-US"/>
        </w:rPr>
        <w:t>s</w:t>
      </w:r>
      <w:r>
        <w:rPr>
          <w:rFonts w:cs="Arial"/>
          <w:color w:val="auto"/>
          <w:lang w:eastAsia="en-US"/>
        </w:rPr>
        <w:t xml:space="preserve"> are managed as set out in this report and appendices</w:t>
      </w:r>
      <w:r w:rsidR="00670327">
        <w:rPr>
          <w:rFonts w:cs="Arial"/>
          <w:color w:val="auto"/>
          <w:lang w:eastAsia="en-US"/>
        </w:rPr>
        <w:t>.</w:t>
      </w:r>
      <w:r w:rsidR="00545B48">
        <w:rPr>
          <w:rFonts w:cs="Arial"/>
          <w:color w:val="auto"/>
          <w:lang w:eastAsia="en-US"/>
        </w:rPr>
        <w:t xml:space="preserve">  </w:t>
      </w:r>
      <w:r w:rsidR="00AD3EDC">
        <w:rPr>
          <w:rFonts w:cs="Arial"/>
          <w:color w:val="auto"/>
          <w:lang w:eastAsia="en-US"/>
        </w:rPr>
        <w:t xml:space="preserve">The Council is intending to invest a further £10 million in property funds during 2019/20.  </w:t>
      </w:r>
      <w:r w:rsidR="00FD781D" w:rsidRPr="00FD781D">
        <w:rPr>
          <w:rFonts w:cs="Arial"/>
          <w:color w:val="auto"/>
          <w:lang w:eastAsia="en-US"/>
        </w:rPr>
        <w:t xml:space="preserve">The use of these instruments can be deemed capital expenditure, and as such will </w:t>
      </w:r>
      <w:r w:rsidR="00AD3EDC">
        <w:rPr>
          <w:rFonts w:cs="Arial"/>
          <w:color w:val="auto"/>
          <w:lang w:eastAsia="en-US"/>
        </w:rPr>
        <w:t xml:space="preserve">require the use of </w:t>
      </w:r>
      <w:r w:rsidR="00FD781D" w:rsidRPr="00FD781D">
        <w:rPr>
          <w:rFonts w:cs="Arial"/>
          <w:color w:val="auto"/>
          <w:lang w:eastAsia="en-US"/>
        </w:rPr>
        <w:t>capital resources.  This Authority will seek guidance on the status of any fund it may consider using. Appropriate due diligence will also be undertaken before investment of this type is undertaken.</w:t>
      </w:r>
      <w:r w:rsidR="00AD3EDC">
        <w:rPr>
          <w:rFonts w:cs="Arial"/>
          <w:color w:val="auto"/>
          <w:lang w:eastAsia="en-US"/>
        </w:rPr>
        <w:t xml:space="preserve">  </w:t>
      </w:r>
    </w:p>
    <w:p w:rsidR="00AD3EDC" w:rsidRDefault="00AD3EDC" w:rsidP="00AD3EDC">
      <w:pPr>
        <w:spacing w:after="0"/>
        <w:ind w:left="360"/>
        <w:contextualSpacing/>
        <w:rPr>
          <w:rFonts w:cs="Arial"/>
          <w:color w:val="auto"/>
          <w:lang w:eastAsia="en-US"/>
        </w:rPr>
      </w:pPr>
    </w:p>
    <w:p w:rsidR="00670327" w:rsidRDefault="00AD3EDC" w:rsidP="00AD3EDC">
      <w:pPr>
        <w:numPr>
          <w:ilvl w:val="0"/>
          <w:numId w:val="6"/>
        </w:numPr>
        <w:spacing w:after="0"/>
        <w:contextualSpacing/>
        <w:rPr>
          <w:rFonts w:cs="Arial"/>
          <w:color w:val="auto"/>
          <w:lang w:eastAsia="en-US"/>
        </w:rPr>
      </w:pPr>
      <w:r>
        <w:rPr>
          <w:rFonts w:cs="Arial"/>
          <w:color w:val="auto"/>
          <w:lang w:eastAsia="en-US"/>
        </w:rPr>
        <w:t xml:space="preserve">The value of property funds is reliant on the value of the property held by the funds and </w:t>
      </w:r>
      <w:r w:rsidRPr="00AD3EDC">
        <w:rPr>
          <w:rFonts w:cs="Arial"/>
          <w:color w:val="auto"/>
          <w:lang w:eastAsia="en-US"/>
        </w:rPr>
        <w:t xml:space="preserve">property values </w:t>
      </w:r>
      <w:r>
        <w:rPr>
          <w:rFonts w:cs="Arial"/>
          <w:color w:val="auto"/>
          <w:lang w:eastAsia="en-US"/>
        </w:rPr>
        <w:t>can go</w:t>
      </w:r>
      <w:r w:rsidRPr="00AD3EDC">
        <w:rPr>
          <w:rFonts w:cs="Arial"/>
          <w:color w:val="auto"/>
          <w:lang w:eastAsia="en-US"/>
        </w:rPr>
        <w:t xml:space="preserve"> down as well as up. </w:t>
      </w:r>
      <w:r>
        <w:rPr>
          <w:rFonts w:cs="Arial"/>
          <w:color w:val="auto"/>
          <w:lang w:eastAsia="en-US"/>
        </w:rPr>
        <w:t xml:space="preserve"> It will be ensured that the Fund(s) that the Council uses will hold a broad property portfolio which will mitigate the risk of specific sectors suffering a loss in property values.  The regular returns from Property Funds are from property rentals so as long as the properties remain tenanted there will be a return.  The risk of holding property is also affected by the uncertainty over the exit from the EU.</w:t>
      </w:r>
    </w:p>
    <w:p w:rsidR="00AD3EDC" w:rsidRPr="00C37CEE" w:rsidRDefault="00AD3EDC" w:rsidP="00C37CEE">
      <w:pPr>
        <w:rPr>
          <w:rFonts w:cs="Arial"/>
          <w:color w:val="auto"/>
          <w:lang w:eastAsia="en-US"/>
        </w:rPr>
      </w:pPr>
    </w:p>
    <w:p w:rsidR="00AD3EDC" w:rsidRDefault="00AD3EDC" w:rsidP="00AD3EDC">
      <w:pPr>
        <w:numPr>
          <w:ilvl w:val="0"/>
          <w:numId w:val="6"/>
        </w:numPr>
        <w:spacing w:after="0"/>
        <w:contextualSpacing/>
        <w:rPr>
          <w:rFonts w:cs="Arial"/>
          <w:color w:val="auto"/>
          <w:lang w:eastAsia="en-US"/>
        </w:rPr>
      </w:pPr>
      <w:r>
        <w:rPr>
          <w:rFonts w:cs="Arial"/>
          <w:color w:val="auto"/>
          <w:lang w:eastAsia="en-US"/>
        </w:rPr>
        <w:t>Increases and decreases in the value of property funds now have to be charged to the revenue account, although there is a statutory mitigation from Government that allows these impacts to be reversed out for five years.</w:t>
      </w:r>
    </w:p>
    <w:p w:rsidR="00670327" w:rsidRPr="001356F1" w:rsidRDefault="00670327" w:rsidP="00670327">
      <w:pPr>
        <w:pStyle w:val="Heading1"/>
      </w:pPr>
      <w:r w:rsidRPr="001356F1">
        <w:t xml:space="preserve">Equalities impact </w:t>
      </w:r>
    </w:p>
    <w:p w:rsidR="00670327" w:rsidRDefault="005A33FE" w:rsidP="0020712A">
      <w:pPr>
        <w:numPr>
          <w:ilvl w:val="0"/>
          <w:numId w:val="6"/>
        </w:numPr>
        <w:spacing w:after="0"/>
        <w:contextualSpacing/>
        <w:rPr>
          <w:rFonts w:cs="Arial"/>
          <w:color w:val="auto"/>
          <w:lang w:eastAsia="en-US"/>
        </w:rPr>
      </w:pPr>
      <w:r>
        <w:rPr>
          <w:rFonts w:cs="Arial"/>
          <w:color w:val="auto"/>
          <w:lang w:eastAsia="en-US"/>
        </w:rPr>
        <w:t xml:space="preserve">The Council has adopted an ethical investment policy to help reduce the environmental, health and wellbeing impacts that could potentially arise from investments.  </w:t>
      </w:r>
      <w:r w:rsidR="00670327" w:rsidRPr="00670327">
        <w:rPr>
          <w:rFonts w:cs="Arial"/>
          <w:color w:val="auto"/>
          <w:lang w:eastAsia="en-US"/>
        </w:rPr>
        <w:t xml:space="preserve">There </w:t>
      </w:r>
      <w:r w:rsidR="00670327">
        <w:rPr>
          <w:rFonts w:cs="Arial"/>
          <w:color w:val="auto"/>
          <w:lang w:eastAsia="en-US"/>
        </w:rPr>
        <w:t>are</w:t>
      </w:r>
      <w:r w:rsidR="00670327" w:rsidRPr="00670327">
        <w:rPr>
          <w:rFonts w:cs="Arial"/>
          <w:color w:val="auto"/>
          <w:lang w:eastAsia="en-US"/>
        </w:rPr>
        <w:t xml:space="preserve"> no </w:t>
      </w:r>
      <w:r>
        <w:rPr>
          <w:rFonts w:cs="Arial"/>
          <w:color w:val="auto"/>
          <w:lang w:eastAsia="en-US"/>
        </w:rPr>
        <w:t xml:space="preserve">other </w:t>
      </w:r>
      <w:r w:rsidR="00670327" w:rsidRPr="00670327">
        <w:rPr>
          <w:rFonts w:cs="Arial"/>
          <w:color w:val="auto"/>
          <w:lang w:eastAsia="en-US"/>
        </w:rPr>
        <w:t>equalities impact</w:t>
      </w:r>
      <w:r w:rsidR="00670327">
        <w:rPr>
          <w:rFonts w:cs="Arial"/>
          <w:color w:val="auto"/>
          <w:lang w:eastAsia="en-US"/>
        </w:rPr>
        <w:t>s</w:t>
      </w:r>
      <w:r w:rsidR="00670327" w:rsidRPr="00670327">
        <w:rPr>
          <w:rFonts w:cs="Arial"/>
          <w:color w:val="auto"/>
          <w:lang w:eastAsia="en-US"/>
        </w:rPr>
        <w:t xml:space="preserve">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77456A" w:rsidP="00A46E98">
            <w:pPr>
              <w:rPr>
                <w:rStyle w:val="Hyperlink"/>
                <w:color w:val="auto"/>
              </w:rPr>
            </w:pPr>
            <w:hyperlink r:id="rId10"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48" w:rsidRDefault="00EC4A48" w:rsidP="004A6D2F">
      <w:r>
        <w:separator/>
      </w:r>
    </w:p>
  </w:endnote>
  <w:endnote w:type="continuationSeparator" w:id="0">
    <w:p w:rsidR="00EC4A48" w:rsidRDefault="00EC4A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48" w:rsidRDefault="00EC4A48" w:rsidP="004A6D2F">
      <w:r>
        <w:separator/>
      </w:r>
    </w:p>
  </w:footnote>
  <w:footnote w:type="continuationSeparator" w:id="0">
    <w:p w:rsidR="00EC4A48" w:rsidRDefault="00EC4A48" w:rsidP="004A6D2F">
      <w:r>
        <w:continuationSeparator/>
      </w:r>
    </w:p>
  </w:footnote>
  <w:footnote w:id="1">
    <w:p w:rsidR="00670327" w:rsidRDefault="00670327" w:rsidP="00D71D8D">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670327" w:rsidRDefault="00670327" w:rsidP="00D71D8D">
      <w:pPr>
        <w:pStyle w:val="FootnoteText"/>
      </w:pPr>
      <w:r>
        <w:rPr>
          <w:rStyle w:val="FootnoteReference"/>
        </w:rPr>
        <w:footnoteRef/>
      </w:r>
      <w:r>
        <w:t xml:space="preserve"> Unsupported borrowing is any borrowing not covered by Government grants.</w:t>
      </w:r>
    </w:p>
  </w:footnote>
  <w:footnote w:id="3">
    <w:p w:rsidR="00670327" w:rsidRDefault="00670327" w:rsidP="00D71D8D">
      <w:pPr>
        <w:pStyle w:val="FootnoteText"/>
      </w:pPr>
      <w:r>
        <w:rPr>
          <w:rStyle w:val="FootnoteReference"/>
        </w:rPr>
        <w:footnoteRef/>
      </w:r>
      <w:r>
        <w:t xml:space="preserve"> A financial swap agreement that the seller of the CDS will compensate the buyer in the event of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F706E"/>
    <w:multiLevelType w:val="hybridMultilevel"/>
    <w:tmpl w:val="856E6318"/>
    <w:lvl w:ilvl="0" w:tplc="713813C4">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02DF4"/>
    <w:multiLevelType w:val="hybridMultilevel"/>
    <w:tmpl w:val="28D6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93501"/>
    <w:multiLevelType w:val="hybridMultilevel"/>
    <w:tmpl w:val="3DE4D60A"/>
    <w:lvl w:ilvl="0" w:tplc="08090001">
      <w:start w:val="1"/>
      <w:numFmt w:val="bullet"/>
      <w:lvlText w:val=""/>
      <w:lvlJc w:val="left"/>
      <w:pPr>
        <w:ind w:left="2065" w:hanging="360"/>
      </w:pPr>
      <w:rPr>
        <w:rFonts w:ascii="Symbol" w:hAnsi="Symbol" w:hint="default"/>
      </w:rPr>
    </w:lvl>
    <w:lvl w:ilvl="1" w:tplc="08090003" w:tentative="1">
      <w:start w:val="1"/>
      <w:numFmt w:val="bullet"/>
      <w:lvlText w:val="o"/>
      <w:lvlJc w:val="left"/>
      <w:pPr>
        <w:ind w:left="2785" w:hanging="360"/>
      </w:pPr>
      <w:rPr>
        <w:rFonts w:ascii="Courier New" w:hAnsi="Courier New" w:cs="Courier New" w:hint="default"/>
      </w:rPr>
    </w:lvl>
    <w:lvl w:ilvl="2" w:tplc="08090005" w:tentative="1">
      <w:start w:val="1"/>
      <w:numFmt w:val="bullet"/>
      <w:lvlText w:val=""/>
      <w:lvlJc w:val="left"/>
      <w:pPr>
        <w:ind w:left="3505" w:hanging="360"/>
      </w:pPr>
      <w:rPr>
        <w:rFonts w:ascii="Wingdings" w:hAnsi="Wingdings" w:hint="default"/>
      </w:rPr>
    </w:lvl>
    <w:lvl w:ilvl="3" w:tplc="08090001" w:tentative="1">
      <w:start w:val="1"/>
      <w:numFmt w:val="bullet"/>
      <w:lvlText w:val=""/>
      <w:lvlJc w:val="left"/>
      <w:pPr>
        <w:ind w:left="4225" w:hanging="360"/>
      </w:pPr>
      <w:rPr>
        <w:rFonts w:ascii="Symbol" w:hAnsi="Symbol" w:hint="default"/>
      </w:rPr>
    </w:lvl>
    <w:lvl w:ilvl="4" w:tplc="08090003" w:tentative="1">
      <w:start w:val="1"/>
      <w:numFmt w:val="bullet"/>
      <w:lvlText w:val="o"/>
      <w:lvlJc w:val="left"/>
      <w:pPr>
        <w:ind w:left="4945" w:hanging="360"/>
      </w:pPr>
      <w:rPr>
        <w:rFonts w:ascii="Courier New" w:hAnsi="Courier New" w:cs="Courier New" w:hint="default"/>
      </w:rPr>
    </w:lvl>
    <w:lvl w:ilvl="5" w:tplc="08090005" w:tentative="1">
      <w:start w:val="1"/>
      <w:numFmt w:val="bullet"/>
      <w:lvlText w:val=""/>
      <w:lvlJc w:val="left"/>
      <w:pPr>
        <w:ind w:left="5665" w:hanging="360"/>
      </w:pPr>
      <w:rPr>
        <w:rFonts w:ascii="Wingdings" w:hAnsi="Wingdings" w:hint="default"/>
      </w:rPr>
    </w:lvl>
    <w:lvl w:ilvl="6" w:tplc="08090001" w:tentative="1">
      <w:start w:val="1"/>
      <w:numFmt w:val="bullet"/>
      <w:lvlText w:val=""/>
      <w:lvlJc w:val="left"/>
      <w:pPr>
        <w:ind w:left="6385" w:hanging="360"/>
      </w:pPr>
      <w:rPr>
        <w:rFonts w:ascii="Symbol" w:hAnsi="Symbol" w:hint="default"/>
      </w:rPr>
    </w:lvl>
    <w:lvl w:ilvl="7" w:tplc="08090003" w:tentative="1">
      <w:start w:val="1"/>
      <w:numFmt w:val="bullet"/>
      <w:lvlText w:val="o"/>
      <w:lvlJc w:val="left"/>
      <w:pPr>
        <w:ind w:left="7105" w:hanging="360"/>
      </w:pPr>
      <w:rPr>
        <w:rFonts w:ascii="Courier New" w:hAnsi="Courier New" w:cs="Courier New" w:hint="default"/>
      </w:rPr>
    </w:lvl>
    <w:lvl w:ilvl="8" w:tplc="08090005" w:tentative="1">
      <w:start w:val="1"/>
      <w:numFmt w:val="bullet"/>
      <w:lvlText w:val=""/>
      <w:lvlJc w:val="left"/>
      <w:pPr>
        <w:ind w:left="7825"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5C57ED"/>
    <w:multiLevelType w:val="hybridMultilevel"/>
    <w:tmpl w:val="B60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1">
    <w:nsid w:val="4C8B276A"/>
    <w:multiLevelType w:val="hybridMultilevel"/>
    <w:tmpl w:val="6A584B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CE5FCF"/>
    <w:multiLevelType w:val="hybridMultilevel"/>
    <w:tmpl w:val="9CE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8365C6"/>
    <w:multiLevelType w:val="multilevel"/>
    <w:tmpl w:val="E67CE66C"/>
    <w:numStyleLink w:val="StyleNumberedLeft0cmHanging075cm"/>
  </w:abstractNum>
  <w:abstractNum w:abstractNumId="18">
    <w:nsid w:val="7D6D135E"/>
    <w:multiLevelType w:val="hybridMultilevel"/>
    <w:tmpl w:val="B234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7"/>
  </w:num>
  <w:num w:numId="3">
    <w:abstractNumId w:val="5"/>
  </w:num>
  <w:num w:numId="4">
    <w:abstractNumId w:val="1"/>
  </w:num>
  <w:num w:numId="5">
    <w:abstractNumId w:val="13"/>
  </w:num>
  <w:num w:numId="6">
    <w:abstractNumId w:val="18"/>
  </w:num>
  <w:num w:numId="7">
    <w:abstractNumId w:val="16"/>
  </w:num>
  <w:num w:numId="8">
    <w:abstractNumId w:val="7"/>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5"/>
  </w:num>
  <w:num w:numId="14">
    <w:abstractNumId w:val="10"/>
  </w:num>
  <w:num w:numId="15">
    <w:abstractNumId w:val="9"/>
  </w:num>
  <w:num w:numId="16">
    <w:abstractNumId w:val="6"/>
  </w:num>
  <w:num w:numId="17">
    <w:abstractNumId w:val="2"/>
  </w:num>
  <w:num w:numId="18">
    <w:abstractNumId w:val="14"/>
  </w:num>
  <w:num w:numId="19">
    <w:abstractNumId w:val="11"/>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297"/>
    <w:rsid w:val="000117D4"/>
    <w:rsid w:val="000145E5"/>
    <w:rsid w:val="00014ACC"/>
    <w:rsid w:val="000314D7"/>
    <w:rsid w:val="00045F8B"/>
    <w:rsid w:val="00046C9C"/>
    <w:rsid w:val="00046D2B"/>
    <w:rsid w:val="00056263"/>
    <w:rsid w:val="00061EFC"/>
    <w:rsid w:val="00064D8A"/>
    <w:rsid w:val="00064F82"/>
    <w:rsid w:val="00066510"/>
    <w:rsid w:val="00074C39"/>
    <w:rsid w:val="00077523"/>
    <w:rsid w:val="000A41E7"/>
    <w:rsid w:val="000C089F"/>
    <w:rsid w:val="000C3928"/>
    <w:rsid w:val="000C5E8E"/>
    <w:rsid w:val="000F4751"/>
    <w:rsid w:val="0010524C"/>
    <w:rsid w:val="00111FB1"/>
    <w:rsid w:val="00113418"/>
    <w:rsid w:val="001250F2"/>
    <w:rsid w:val="00125561"/>
    <w:rsid w:val="001356F1"/>
    <w:rsid w:val="00136994"/>
    <w:rsid w:val="00140C81"/>
    <w:rsid w:val="0014128E"/>
    <w:rsid w:val="00151888"/>
    <w:rsid w:val="001545B2"/>
    <w:rsid w:val="00166DB1"/>
    <w:rsid w:val="001709F9"/>
    <w:rsid w:val="00170A2D"/>
    <w:rsid w:val="0017255D"/>
    <w:rsid w:val="0017543A"/>
    <w:rsid w:val="001808BC"/>
    <w:rsid w:val="00182B81"/>
    <w:rsid w:val="0018619D"/>
    <w:rsid w:val="0019605F"/>
    <w:rsid w:val="001A011E"/>
    <w:rsid w:val="001A066A"/>
    <w:rsid w:val="001A13E6"/>
    <w:rsid w:val="001A297A"/>
    <w:rsid w:val="001A5731"/>
    <w:rsid w:val="001B3DC6"/>
    <w:rsid w:val="001B42C3"/>
    <w:rsid w:val="001C3ACB"/>
    <w:rsid w:val="001C5D5E"/>
    <w:rsid w:val="001D678D"/>
    <w:rsid w:val="001E03F8"/>
    <w:rsid w:val="001E1678"/>
    <w:rsid w:val="001E2D58"/>
    <w:rsid w:val="001E3376"/>
    <w:rsid w:val="002069B3"/>
    <w:rsid w:val="0020712A"/>
    <w:rsid w:val="00220389"/>
    <w:rsid w:val="00226AF9"/>
    <w:rsid w:val="002329CF"/>
    <w:rsid w:val="00232F5B"/>
    <w:rsid w:val="00236CBB"/>
    <w:rsid w:val="00247C29"/>
    <w:rsid w:val="00260467"/>
    <w:rsid w:val="002606B4"/>
    <w:rsid w:val="00263E8A"/>
    <w:rsid w:val="00263EA3"/>
    <w:rsid w:val="0026510E"/>
    <w:rsid w:val="00275A32"/>
    <w:rsid w:val="00284F85"/>
    <w:rsid w:val="00290915"/>
    <w:rsid w:val="002A22E2"/>
    <w:rsid w:val="002B0E44"/>
    <w:rsid w:val="002C64F7"/>
    <w:rsid w:val="002F41F2"/>
    <w:rsid w:val="002F4A90"/>
    <w:rsid w:val="00301BF3"/>
    <w:rsid w:val="0030208D"/>
    <w:rsid w:val="00304AE9"/>
    <w:rsid w:val="003145DA"/>
    <w:rsid w:val="00323418"/>
    <w:rsid w:val="003335D8"/>
    <w:rsid w:val="003357BF"/>
    <w:rsid w:val="00346536"/>
    <w:rsid w:val="00364FAD"/>
    <w:rsid w:val="0036738F"/>
    <w:rsid w:val="0036759C"/>
    <w:rsid w:val="00367AE5"/>
    <w:rsid w:val="00367D71"/>
    <w:rsid w:val="0038150A"/>
    <w:rsid w:val="00392B23"/>
    <w:rsid w:val="00393FAD"/>
    <w:rsid w:val="003A1F4B"/>
    <w:rsid w:val="003B6E75"/>
    <w:rsid w:val="003B7DA1"/>
    <w:rsid w:val="003D0379"/>
    <w:rsid w:val="003D0A7D"/>
    <w:rsid w:val="003D2574"/>
    <w:rsid w:val="003D4C59"/>
    <w:rsid w:val="003E13F5"/>
    <w:rsid w:val="003E4817"/>
    <w:rsid w:val="003F4267"/>
    <w:rsid w:val="00404032"/>
    <w:rsid w:val="00405FD1"/>
    <w:rsid w:val="0040736F"/>
    <w:rsid w:val="00412C1F"/>
    <w:rsid w:val="00413FD8"/>
    <w:rsid w:val="00421CB2"/>
    <w:rsid w:val="004268B9"/>
    <w:rsid w:val="00433B96"/>
    <w:rsid w:val="0044066A"/>
    <w:rsid w:val="004440F1"/>
    <w:rsid w:val="004456DD"/>
    <w:rsid w:val="004460B7"/>
    <w:rsid w:val="00446CDF"/>
    <w:rsid w:val="004521B7"/>
    <w:rsid w:val="00462AB5"/>
    <w:rsid w:val="00465EAF"/>
    <w:rsid w:val="004738C5"/>
    <w:rsid w:val="00486305"/>
    <w:rsid w:val="00491046"/>
    <w:rsid w:val="00494F60"/>
    <w:rsid w:val="004A2AC7"/>
    <w:rsid w:val="004A3128"/>
    <w:rsid w:val="004A6D2F"/>
    <w:rsid w:val="004B071F"/>
    <w:rsid w:val="004C2887"/>
    <w:rsid w:val="004D2626"/>
    <w:rsid w:val="004D6E26"/>
    <w:rsid w:val="004D77D3"/>
    <w:rsid w:val="004E2959"/>
    <w:rsid w:val="004F1AB7"/>
    <w:rsid w:val="004F20EF"/>
    <w:rsid w:val="0050321C"/>
    <w:rsid w:val="00505A35"/>
    <w:rsid w:val="0051623E"/>
    <w:rsid w:val="00545B48"/>
    <w:rsid w:val="0054712D"/>
    <w:rsid w:val="00547EF6"/>
    <w:rsid w:val="005570B5"/>
    <w:rsid w:val="00567903"/>
    <w:rsid w:val="00567E18"/>
    <w:rsid w:val="00575F5F"/>
    <w:rsid w:val="00581805"/>
    <w:rsid w:val="00585F76"/>
    <w:rsid w:val="005A33FE"/>
    <w:rsid w:val="005A34E4"/>
    <w:rsid w:val="005A5DF8"/>
    <w:rsid w:val="005B17F2"/>
    <w:rsid w:val="005B7FB0"/>
    <w:rsid w:val="005C35A5"/>
    <w:rsid w:val="005C577C"/>
    <w:rsid w:val="005D0621"/>
    <w:rsid w:val="005D19A1"/>
    <w:rsid w:val="005D1E27"/>
    <w:rsid w:val="005D2A3E"/>
    <w:rsid w:val="005D4197"/>
    <w:rsid w:val="005E022E"/>
    <w:rsid w:val="005E1929"/>
    <w:rsid w:val="005E5215"/>
    <w:rsid w:val="005F69DF"/>
    <w:rsid w:val="005F7F7E"/>
    <w:rsid w:val="00614693"/>
    <w:rsid w:val="0062055D"/>
    <w:rsid w:val="00623C2F"/>
    <w:rsid w:val="00633578"/>
    <w:rsid w:val="00637068"/>
    <w:rsid w:val="00647AD2"/>
    <w:rsid w:val="00650811"/>
    <w:rsid w:val="00661D3E"/>
    <w:rsid w:val="00670327"/>
    <w:rsid w:val="00692627"/>
    <w:rsid w:val="006969E7"/>
    <w:rsid w:val="006A3643"/>
    <w:rsid w:val="006B0ED4"/>
    <w:rsid w:val="006B1A64"/>
    <w:rsid w:val="006C2A29"/>
    <w:rsid w:val="006C64CF"/>
    <w:rsid w:val="006D17B1"/>
    <w:rsid w:val="006D4752"/>
    <w:rsid w:val="006D708A"/>
    <w:rsid w:val="006E14C1"/>
    <w:rsid w:val="006F0292"/>
    <w:rsid w:val="006F27FA"/>
    <w:rsid w:val="006F416B"/>
    <w:rsid w:val="006F519B"/>
    <w:rsid w:val="00713675"/>
    <w:rsid w:val="00715823"/>
    <w:rsid w:val="00716D5C"/>
    <w:rsid w:val="007200F7"/>
    <w:rsid w:val="00737B93"/>
    <w:rsid w:val="00745BF0"/>
    <w:rsid w:val="007615FE"/>
    <w:rsid w:val="0076655C"/>
    <w:rsid w:val="007742DC"/>
    <w:rsid w:val="0077456A"/>
    <w:rsid w:val="00791437"/>
    <w:rsid w:val="007B0C2C"/>
    <w:rsid w:val="007B255A"/>
    <w:rsid w:val="007B278E"/>
    <w:rsid w:val="007C5C23"/>
    <w:rsid w:val="007E2A26"/>
    <w:rsid w:val="007F2348"/>
    <w:rsid w:val="00803F07"/>
    <w:rsid w:val="0080749A"/>
    <w:rsid w:val="00810290"/>
    <w:rsid w:val="00821FB8"/>
    <w:rsid w:val="00822ACD"/>
    <w:rsid w:val="00855C66"/>
    <w:rsid w:val="00871EE4"/>
    <w:rsid w:val="008B293F"/>
    <w:rsid w:val="008B7371"/>
    <w:rsid w:val="008D3DDB"/>
    <w:rsid w:val="008D51B8"/>
    <w:rsid w:val="008E5027"/>
    <w:rsid w:val="008F1F9D"/>
    <w:rsid w:val="008F36C4"/>
    <w:rsid w:val="008F573F"/>
    <w:rsid w:val="009010D8"/>
    <w:rsid w:val="009034EC"/>
    <w:rsid w:val="0093067A"/>
    <w:rsid w:val="00941C60"/>
    <w:rsid w:val="00966D42"/>
    <w:rsid w:val="00971689"/>
    <w:rsid w:val="00973E90"/>
    <w:rsid w:val="00975B07"/>
    <w:rsid w:val="00980B4A"/>
    <w:rsid w:val="00986C3E"/>
    <w:rsid w:val="0099552F"/>
    <w:rsid w:val="009B1931"/>
    <w:rsid w:val="009B6195"/>
    <w:rsid w:val="009D002D"/>
    <w:rsid w:val="009E3D0A"/>
    <w:rsid w:val="009E51FC"/>
    <w:rsid w:val="009E7959"/>
    <w:rsid w:val="009F1D28"/>
    <w:rsid w:val="009F7618"/>
    <w:rsid w:val="00A0239F"/>
    <w:rsid w:val="00A04D23"/>
    <w:rsid w:val="00A06766"/>
    <w:rsid w:val="00A13765"/>
    <w:rsid w:val="00A167E5"/>
    <w:rsid w:val="00A21474"/>
    <w:rsid w:val="00A21637"/>
    <w:rsid w:val="00A21B12"/>
    <w:rsid w:val="00A23F80"/>
    <w:rsid w:val="00A23FEE"/>
    <w:rsid w:val="00A46E98"/>
    <w:rsid w:val="00A60D19"/>
    <w:rsid w:val="00A6352B"/>
    <w:rsid w:val="00A701B5"/>
    <w:rsid w:val="00A714BB"/>
    <w:rsid w:val="00A92D8F"/>
    <w:rsid w:val="00AA77C5"/>
    <w:rsid w:val="00AB2988"/>
    <w:rsid w:val="00AB7999"/>
    <w:rsid w:val="00AD3292"/>
    <w:rsid w:val="00AD3EDC"/>
    <w:rsid w:val="00AE7AF0"/>
    <w:rsid w:val="00B500CA"/>
    <w:rsid w:val="00B73B30"/>
    <w:rsid w:val="00B84531"/>
    <w:rsid w:val="00B86314"/>
    <w:rsid w:val="00B92702"/>
    <w:rsid w:val="00B961C0"/>
    <w:rsid w:val="00BA014E"/>
    <w:rsid w:val="00BA1C2E"/>
    <w:rsid w:val="00BB74A3"/>
    <w:rsid w:val="00BC200B"/>
    <w:rsid w:val="00BC4756"/>
    <w:rsid w:val="00BC69A4"/>
    <w:rsid w:val="00BD1ED3"/>
    <w:rsid w:val="00BE059C"/>
    <w:rsid w:val="00BE0680"/>
    <w:rsid w:val="00BE305F"/>
    <w:rsid w:val="00BE7BA3"/>
    <w:rsid w:val="00BF5682"/>
    <w:rsid w:val="00BF7B09"/>
    <w:rsid w:val="00C077D9"/>
    <w:rsid w:val="00C20A95"/>
    <w:rsid w:val="00C2692F"/>
    <w:rsid w:val="00C3207C"/>
    <w:rsid w:val="00C35258"/>
    <w:rsid w:val="00C37CEE"/>
    <w:rsid w:val="00C400E1"/>
    <w:rsid w:val="00C41187"/>
    <w:rsid w:val="00C63C31"/>
    <w:rsid w:val="00C757A0"/>
    <w:rsid w:val="00C760DE"/>
    <w:rsid w:val="00C82630"/>
    <w:rsid w:val="00C85B4E"/>
    <w:rsid w:val="00C907F7"/>
    <w:rsid w:val="00C95BBF"/>
    <w:rsid w:val="00CA2103"/>
    <w:rsid w:val="00CB6B99"/>
    <w:rsid w:val="00CC2886"/>
    <w:rsid w:val="00CE15A0"/>
    <w:rsid w:val="00CE4C87"/>
    <w:rsid w:val="00CE544A"/>
    <w:rsid w:val="00CF4479"/>
    <w:rsid w:val="00D05C2B"/>
    <w:rsid w:val="00D11E1C"/>
    <w:rsid w:val="00D15DC8"/>
    <w:rsid w:val="00D160B0"/>
    <w:rsid w:val="00D17F94"/>
    <w:rsid w:val="00D208C6"/>
    <w:rsid w:val="00D223FC"/>
    <w:rsid w:val="00D26D1E"/>
    <w:rsid w:val="00D418F3"/>
    <w:rsid w:val="00D474CF"/>
    <w:rsid w:val="00D4774C"/>
    <w:rsid w:val="00D51F4F"/>
    <w:rsid w:val="00D5547E"/>
    <w:rsid w:val="00D56D5C"/>
    <w:rsid w:val="00D63ABD"/>
    <w:rsid w:val="00D70096"/>
    <w:rsid w:val="00D71D8D"/>
    <w:rsid w:val="00D869A1"/>
    <w:rsid w:val="00DA413F"/>
    <w:rsid w:val="00DA4559"/>
    <w:rsid w:val="00DA4584"/>
    <w:rsid w:val="00DA614B"/>
    <w:rsid w:val="00DC3060"/>
    <w:rsid w:val="00DC70EE"/>
    <w:rsid w:val="00DE0FB2"/>
    <w:rsid w:val="00DF093E"/>
    <w:rsid w:val="00E01F42"/>
    <w:rsid w:val="00E206D6"/>
    <w:rsid w:val="00E3366E"/>
    <w:rsid w:val="00E363EA"/>
    <w:rsid w:val="00E52086"/>
    <w:rsid w:val="00E543A6"/>
    <w:rsid w:val="00E60479"/>
    <w:rsid w:val="00E6084A"/>
    <w:rsid w:val="00E61D73"/>
    <w:rsid w:val="00E64D33"/>
    <w:rsid w:val="00E73684"/>
    <w:rsid w:val="00E74E79"/>
    <w:rsid w:val="00E818D6"/>
    <w:rsid w:val="00E87F7A"/>
    <w:rsid w:val="00E95325"/>
    <w:rsid w:val="00E96BD7"/>
    <w:rsid w:val="00EA0DB1"/>
    <w:rsid w:val="00EA0EE9"/>
    <w:rsid w:val="00EC4A48"/>
    <w:rsid w:val="00ED52CA"/>
    <w:rsid w:val="00ED5860"/>
    <w:rsid w:val="00EE35C9"/>
    <w:rsid w:val="00F05ECA"/>
    <w:rsid w:val="00F20597"/>
    <w:rsid w:val="00F3566E"/>
    <w:rsid w:val="00F375FB"/>
    <w:rsid w:val="00F41AC1"/>
    <w:rsid w:val="00F4367A"/>
    <w:rsid w:val="00F445B1"/>
    <w:rsid w:val="00F45CD4"/>
    <w:rsid w:val="00F66DCA"/>
    <w:rsid w:val="00F74F53"/>
    <w:rsid w:val="00F7606D"/>
    <w:rsid w:val="00F81670"/>
    <w:rsid w:val="00F82024"/>
    <w:rsid w:val="00F95709"/>
    <w:rsid w:val="00F95BC9"/>
    <w:rsid w:val="00FA624C"/>
    <w:rsid w:val="00FD0FAC"/>
    <w:rsid w:val="00FD1DFA"/>
    <w:rsid w:val="00FD4966"/>
    <w:rsid w:val="00FD781D"/>
    <w:rsid w:val="00FE57DC"/>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ewis@oxford.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48C3-A830-4A6F-95E2-16876036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634BFE4A</Template>
  <TotalTime>2</TotalTime>
  <Pages>14</Pages>
  <Words>5686</Words>
  <Characters>30476</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srobinson</cp:lastModifiedBy>
  <cp:revision>4</cp:revision>
  <cp:lastPrinted>2018-01-17T13:55:00Z</cp:lastPrinted>
  <dcterms:created xsi:type="dcterms:W3CDTF">2019-01-17T14:40:00Z</dcterms:created>
  <dcterms:modified xsi:type="dcterms:W3CDTF">2019-01-25T15:06:00Z</dcterms:modified>
</cp:coreProperties>
</file>